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E7B0" w14:textId="3DE1F0CF" w:rsidR="006456B9" w:rsidRPr="00EC5E6A" w:rsidRDefault="00983EA4" w:rsidP="00D97E05">
      <w:pPr>
        <w:spacing w:line="276" w:lineRule="auto"/>
        <w:jc w:val="center"/>
        <w:rPr>
          <w:rFonts w:eastAsia="Calibri" w:cs="Times New Roman"/>
        </w:rPr>
      </w:pPr>
      <w:r>
        <w:rPr>
          <w:rFonts w:eastAsia="Calibri" w:cs="Times New Roman"/>
        </w:rPr>
        <w:t>March 13</w:t>
      </w:r>
      <w:r w:rsidR="00FC6C49">
        <w:rPr>
          <w:rFonts w:eastAsia="Calibri" w:cs="Times New Roman"/>
        </w:rPr>
        <w:t>, 202</w:t>
      </w:r>
      <w:r w:rsidR="001559E2">
        <w:rPr>
          <w:rFonts w:eastAsia="Calibri" w:cs="Times New Roman"/>
        </w:rPr>
        <w:t>6</w:t>
      </w:r>
    </w:p>
    <w:p w14:paraId="5A264585" w14:textId="77777777" w:rsidR="006456B9" w:rsidRPr="00EC5E6A" w:rsidRDefault="006456B9" w:rsidP="00EB48BF">
      <w:pPr>
        <w:pStyle w:val="NoSpacing"/>
        <w:ind w:firstLine="0"/>
      </w:pPr>
      <w:r w:rsidRPr="00EC5E6A">
        <w:t>VIA REGULATIONS.GOV</w:t>
      </w:r>
    </w:p>
    <w:p w14:paraId="0945DF74" w14:textId="7F9670BE" w:rsidR="006456B9" w:rsidRPr="00E47174" w:rsidRDefault="00EE589E" w:rsidP="00EB48BF">
      <w:pPr>
        <w:pStyle w:val="NoSpacing"/>
        <w:ind w:firstLine="0"/>
      </w:pPr>
      <w:r>
        <w:t>Dr. Mehmet Oz</w:t>
      </w:r>
    </w:p>
    <w:p w14:paraId="589A1A57" w14:textId="343ED5BE" w:rsidR="006456B9" w:rsidRPr="00E47174" w:rsidRDefault="003A2FAB" w:rsidP="00EB48BF">
      <w:pPr>
        <w:pStyle w:val="NoSpacing"/>
        <w:ind w:firstLine="0"/>
      </w:pPr>
      <w:r>
        <w:t>Centers for Medicare &amp; Medicaid Services</w:t>
      </w:r>
    </w:p>
    <w:p w14:paraId="3AF32DB8" w14:textId="788A1821" w:rsidR="00C11112" w:rsidRPr="00E47174" w:rsidRDefault="003A2FAB" w:rsidP="00EB48BF">
      <w:pPr>
        <w:pStyle w:val="NoSpacing"/>
        <w:ind w:firstLine="0"/>
      </w:pPr>
      <w:r>
        <w:t>U.S. Department of Health and Human Services</w:t>
      </w:r>
    </w:p>
    <w:p w14:paraId="41861669" w14:textId="4816CCAA" w:rsidR="00DC5BF3" w:rsidRPr="006C7A41" w:rsidRDefault="00DC5BF3" w:rsidP="00EB48BF">
      <w:pPr>
        <w:pStyle w:val="NoSpacing"/>
        <w:ind w:firstLine="0"/>
      </w:pPr>
      <w:r w:rsidRPr="006C7A41">
        <w:t xml:space="preserve">Attention: </w:t>
      </w:r>
      <w:r w:rsidR="00E05240" w:rsidRPr="006C7A41">
        <w:t>CMS-9883-P</w:t>
      </w:r>
    </w:p>
    <w:p w14:paraId="0655B26E" w14:textId="7B098522" w:rsidR="00DC5BF3" w:rsidRPr="006C7A41" w:rsidRDefault="00DC5BF3" w:rsidP="00EB48BF">
      <w:pPr>
        <w:pStyle w:val="NoSpacing"/>
        <w:ind w:firstLine="0"/>
      </w:pPr>
      <w:r w:rsidRPr="006C7A41">
        <w:t>Mail Stop C4-26-05</w:t>
      </w:r>
    </w:p>
    <w:p w14:paraId="1E30E7ED" w14:textId="77777777" w:rsidR="00DC5BF3" w:rsidRPr="006C7A41" w:rsidRDefault="00DC5BF3" w:rsidP="00EB48BF">
      <w:pPr>
        <w:pStyle w:val="NoSpacing"/>
        <w:ind w:firstLine="0"/>
      </w:pPr>
      <w:r w:rsidRPr="006C7A41">
        <w:t>7500 Security Boulevard</w:t>
      </w:r>
    </w:p>
    <w:p w14:paraId="7E482ECF" w14:textId="0F9ED4BA" w:rsidR="00DC5BF3" w:rsidRPr="006C7A41" w:rsidRDefault="00DC5BF3" w:rsidP="00EB48BF">
      <w:pPr>
        <w:pStyle w:val="NoSpacing"/>
        <w:ind w:firstLine="0"/>
      </w:pPr>
      <w:r w:rsidRPr="006C7A41">
        <w:t>Baltimore, MD 21244-1850</w:t>
      </w:r>
    </w:p>
    <w:p w14:paraId="72805B59" w14:textId="210CAAB5" w:rsidR="006456B9" w:rsidRPr="006C7A41" w:rsidRDefault="006456B9" w:rsidP="00EB48BF">
      <w:pPr>
        <w:spacing w:before="0" w:after="0" w:line="276" w:lineRule="auto"/>
        <w:ind w:firstLine="0"/>
        <w:rPr>
          <w:rFonts w:eastAsia="Calibri" w:cs="Times New Roman"/>
        </w:rPr>
      </w:pPr>
    </w:p>
    <w:p w14:paraId="4246B545" w14:textId="1D87F0A2" w:rsidR="00BD333F" w:rsidRPr="006C7A41" w:rsidRDefault="00DE5688" w:rsidP="003C1AED">
      <w:pPr>
        <w:pStyle w:val="Default"/>
        <w:spacing w:line="276" w:lineRule="auto"/>
        <w:rPr>
          <w:rFonts w:ascii="Garamond" w:hAnsi="Garamond"/>
          <w:b/>
          <w:bCs/>
          <w:sz w:val="22"/>
          <w:szCs w:val="22"/>
        </w:rPr>
      </w:pPr>
      <w:r w:rsidRPr="006C7A41">
        <w:rPr>
          <w:rFonts w:ascii="Garamond" w:hAnsi="Garamond"/>
          <w:b/>
          <w:bCs/>
          <w:sz w:val="22"/>
          <w:szCs w:val="22"/>
        </w:rPr>
        <w:t>Patient Protection and Affordable Care Act, HHS Notice of Benefit and Payment Parameters for 2027; and Basic Health Program</w:t>
      </w:r>
      <w:r w:rsidR="00BD333F" w:rsidRPr="006C7A41">
        <w:rPr>
          <w:rFonts w:ascii="Garamond" w:hAnsi="Garamond"/>
          <w:b/>
          <w:bCs/>
          <w:sz w:val="22"/>
          <w:szCs w:val="22"/>
        </w:rPr>
        <w:t xml:space="preserve"> </w:t>
      </w:r>
    </w:p>
    <w:p w14:paraId="47D8D2F8" w14:textId="77777777" w:rsidR="006456B9" w:rsidRPr="006C7A41" w:rsidRDefault="006456B9" w:rsidP="003C1AED">
      <w:pPr>
        <w:pStyle w:val="Default"/>
        <w:spacing w:line="276" w:lineRule="auto"/>
        <w:rPr>
          <w:rFonts w:ascii="Garamond" w:hAnsi="Garamond"/>
          <w:sz w:val="22"/>
          <w:szCs w:val="22"/>
        </w:rPr>
      </w:pPr>
    </w:p>
    <w:p w14:paraId="64225161" w14:textId="014E8236" w:rsidR="006456B9" w:rsidRPr="00D91CCC" w:rsidRDefault="000A5E0A" w:rsidP="003C1AED">
      <w:pPr>
        <w:spacing w:before="0" w:after="0" w:line="276" w:lineRule="auto"/>
        <w:ind w:firstLine="0"/>
        <w:rPr>
          <w:b/>
          <w:bCs/>
        </w:rPr>
      </w:pPr>
      <w:r w:rsidRPr="006C7A41">
        <w:rPr>
          <w:b/>
          <w:bCs/>
        </w:rPr>
        <w:t>Docket ID</w:t>
      </w:r>
      <w:r w:rsidR="002F6867" w:rsidRPr="006C7A41">
        <w:rPr>
          <w:b/>
          <w:bCs/>
        </w:rPr>
        <w:t>:</w:t>
      </w:r>
      <w:r w:rsidR="00D30A1D" w:rsidRPr="006C7A41">
        <w:rPr>
          <w:b/>
          <w:bCs/>
        </w:rPr>
        <w:t xml:space="preserve"> </w:t>
      </w:r>
      <w:r w:rsidR="00D91CCC" w:rsidRPr="006C7A41">
        <w:rPr>
          <w:b/>
          <w:bCs/>
        </w:rPr>
        <w:t>CMS-2026-0496</w:t>
      </w:r>
    </w:p>
    <w:p w14:paraId="1398D58D" w14:textId="77777777" w:rsidR="006456B9" w:rsidRPr="00D91CCC" w:rsidRDefault="006456B9" w:rsidP="003C1AED">
      <w:pPr>
        <w:spacing w:before="0" w:after="0" w:line="276" w:lineRule="auto"/>
        <w:ind w:firstLine="0"/>
        <w:rPr>
          <w:b/>
        </w:rPr>
      </w:pPr>
    </w:p>
    <w:p w14:paraId="1F6EE299" w14:textId="4318C376" w:rsidR="006456B9" w:rsidRPr="00AF6BF9" w:rsidRDefault="006456B9" w:rsidP="003C1AED">
      <w:pPr>
        <w:spacing w:before="0" w:after="0" w:line="276" w:lineRule="auto"/>
        <w:ind w:firstLine="0"/>
        <w:rPr>
          <w:b/>
        </w:rPr>
      </w:pPr>
      <w:r w:rsidRPr="00D91CCC">
        <w:rPr>
          <w:b/>
        </w:rPr>
        <w:t>Comments of the Competitive Enterprise Institute</w:t>
      </w:r>
    </w:p>
    <w:p w14:paraId="7BF7CACA" w14:textId="794F0BF1" w:rsidR="006456B9" w:rsidRPr="00EC5E6A" w:rsidRDefault="006456B9" w:rsidP="00B359D5">
      <w:pPr>
        <w:pStyle w:val="BodyText"/>
        <w:ind w:firstLine="0"/>
        <w:rPr>
          <w:sz w:val="22"/>
          <w:szCs w:val="22"/>
        </w:rPr>
      </w:pPr>
      <w:r w:rsidRPr="00EC5E6A">
        <w:rPr>
          <w:sz w:val="22"/>
          <w:szCs w:val="22"/>
        </w:rPr>
        <w:t>Dear</w:t>
      </w:r>
      <w:r w:rsidR="00E25670">
        <w:rPr>
          <w:sz w:val="22"/>
          <w:szCs w:val="22"/>
        </w:rPr>
        <w:t xml:space="preserve"> Dr. Oz</w:t>
      </w:r>
      <w:r w:rsidRPr="00EC5E6A">
        <w:rPr>
          <w:sz w:val="22"/>
          <w:szCs w:val="22"/>
        </w:rPr>
        <w:t>,</w:t>
      </w:r>
    </w:p>
    <w:p w14:paraId="6FA0C622" w14:textId="187FA2F0" w:rsidR="008C6AF8" w:rsidRPr="000431C2" w:rsidRDefault="00A669F9" w:rsidP="000431C2">
      <w:pPr>
        <w:rPr>
          <w:color w:val="000000" w:themeColor="text1"/>
        </w:rPr>
      </w:pPr>
      <w:r w:rsidRPr="000431C2">
        <w:rPr>
          <w:color w:val="000000" w:themeColor="text1"/>
        </w:rPr>
        <w:t xml:space="preserve">The Competitive Enterprise Institute (CEI) submits these comments in </w:t>
      </w:r>
      <w:r w:rsidR="00EE3BC1" w:rsidRPr="000431C2">
        <w:rPr>
          <w:color w:val="000000" w:themeColor="text1"/>
        </w:rPr>
        <w:t>support of</w:t>
      </w:r>
      <w:r w:rsidR="003C1AED" w:rsidRPr="000431C2">
        <w:rPr>
          <w:color w:val="000000" w:themeColor="text1"/>
        </w:rPr>
        <w:t xml:space="preserve"> several provisions in</w:t>
      </w:r>
      <w:r w:rsidR="005D3F81" w:rsidRPr="000431C2">
        <w:rPr>
          <w:color w:val="000000" w:themeColor="text1"/>
        </w:rPr>
        <w:t xml:space="preserve"> the rule </w:t>
      </w:r>
      <w:r w:rsidR="005D3F81" w:rsidRPr="000431C2">
        <w:rPr>
          <w:color w:val="000000" w:themeColor="text1"/>
        </w:rPr>
        <w:t>recently proposed by CMS.</w:t>
      </w:r>
      <w:r w:rsidR="00B56B02" w:rsidRPr="000431C2">
        <w:rPr>
          <w:color w:val="000000" w:themeColor="text1"/>
        </w:rPr>
        <w:t xml:space="preserve"> </w:t>
      </w:r>
      <w:r w:rsidR="006A14CD" w:rsidRPr="000431C2">
        <w:rPr>
          <w:color w:val="000000" w:themeColor="text1"/>
        </w:rPr>
        <w:t>The Affordable Care Act is an extremely important piece of the health care economy</w:t>
      </w:r>
      <w:r w:rsidR="00563068">
        <w:rPr>
          <w:color w:val="000000" w:themeColor="text1"/>
        </w:rPr>
        <w:t xml:space="preserve"> and</w:t>
      </w:r>
      <w:r w:rsidR="006A14CD" w:rsidRPr="000431C2">
        <w:rPr>
          <w:color w:val="000000" w:themeColor="text1"/>
        </w:rPr>
        <w:t xml:space="preserve"> provides coverage for millions of Americans</w:t>
      </w:r>
      <w:r w:rsidR="00D33761" w:rsidRPr="000431C2">
        <w:rPr>
          <w:color w:val="000000" w:themeColor="text1"/>
        </w:rPr>
        <w:t xml:space="preserve">. </w:t>
      </w:r>
      <w:r w:rsidR="00D33761" w:rsidRPr="000431C2">
        <w:rPr>
          <w:color w:val="000000" w:themeColor="text1"/>
        </w:rPr>
        <w:t xml:space="preserve">CEI believes it is overregulated </w:t>
      </w:r>
      <w:r w:rsidR="00563068">
        <w:rPr>
          <w:color w:val="000000" w:themeColor="text1"/>
        </w:rPr>
        <w:t>but</w:t>
      </w:r>
      <w:r w:rsidR="0083529D" w:rsidRPr="000431C2">
        <w:rPr>
          <w:color w:val="000000" w:themeColor="text1"/>
        </w:rPr>
        <w:t xml:space="preserve"> also suffers from a lack of oversight. These problems are </w:t>
      </w:r>
      <w:r w:rsidR="0009046B" w:rsidRPr="000431C2">
        <w:rPr>
          <w:color w:val="000000" w:themeColor="text1"/>
        </w:rPr>
        <w:t xml:space="preserve">causing deleterious effects for consumers </w:t>
      </w:r>
      <w:r w:rsidR="00563068">
        <w:rPr>
          <w:color w:val="000000" w:themeColor="text1"/>
        </w:rPr>
        <w:t>through</w:t>
      </w:r>
      <w:r w:rsidR="0009046B" w:rsidRPr="000431C2">
        <w:rPr>
          <w:color w:val="000000" w:themeColor="text1"/>
        </w:rPr>
        <w:t xml:space="preserve"> unwanted plans, increasing prices, and larger burdens on </w:t>
      </w:r>
      <w:r w:rsidR="001661B7" w:rsidRPr="000431C2">
        <w:rPr>
          <w:color w:val="000000" w:themeColor="text1"/>
        </w:rPr>
        <w:t>taxpayers.</w:t>
      </w:r>
      <w:r w:rsidR="00C96D3C" w:rsidRPr="000431C2">
        <w:rPr>
          <w:color w:val="000000" w:themeColor="text1"/>
        </w:rPr>
        <w:t xml:space="preserve"> </w:t>
      </w:r>
      <w:r w:rsidR="001C6EED" w:rsidRPr="000431C2">
        <w:rPr>
          <w:rFonts w:cs="Times New Roman"/>
          <w:color w:val="000000" w:themeColor="text1"/>
        </w:rPr>
        <w:t>Below, I lay</w:t>
      </w:r>
      <w:r w:rsidR="00686914" w:rsidRPr="000431C2">
        <w:rPr>
          <w:rFonts w:cs="Times New Roman"/>
          <w:color w:val="000000" w:themeColor="text1"/>
        </w:rPr>
        <w:t xml:space="preserve"> out </w:t>
      </w:r>
      <w:r w:rsidR="00910C4B" w:rsidRPr="000431C2">
        <w:rPr>
          <w:rFonts w:cs="Times New Roman"/>
          <w:color w:val="000000" w:themeColor="text1"/>
        </w:rPr>
        <w:t xml:space="preserve">how provisions in this rule would improve the health care </w:t>
      </w:r>
      <w:r w:rsidR="00D87562" w:rsidRPr="000431C2">
        <w:rPr>
          <w:rFonts w:cs="Times New Roman"/>
          <w:color w:val="000000" w:themeColor="text1"/>
        </w:rPr>
        <w:t xml:space="preserve">market and </w:t>
      </w:r>
      <w:r w:rsidR="006C3B4F">
        <w:rPr>
          <w:rFonts w:cs="Times New Roman"/>
          <w:color w:val="000000" w:themeColor="text1"/>
        </w:rPr>
        <w:t xml:space="preserve">benefit </w:t>
      </w:r>
      <w:r w:rsidR="00D87562" w:rsidRPr="000431C2">
        <w:rPr>
          <w:rFonts w:cs="Times New Roman"/>
          <w:color w:val="000000" w:themeColor="text1"/>
        </w:rPr>
        <w:t>consu</w:t>
      </w:r>
      <w:r w:rsidR="000431C2" w:rsidRPr="000431C2">
        <w:rPr>
          <w:rFonts w:cs="Times New Roman"/>
          <w:color w:val="000000" w:themeColor="text1"/>
        </w:rPr>
        <w:t>mers.</w:t>
      </w:r>
    </w:p>
    <w:p w14:paraId="221522BB" w14:textId="73BA6723" w:rsidR="00640840" w:rsidRPr="00790377" w:rsidRDefault="00F73481" w:rsidP="00335868">
      <w:pPr>
        <w:pStyle w:val="Heading1"/>
      </w:pPr>
      <w:r w:rsidRPr="00335868">
        <w:t>More</w:t>
      </w:r>
      <w:r>
        <w:t xml:space="preserve"> </w:t>
      </w:r>
      <w:r w:rsidRPr="00335868">
        <w:t>Options</w:t>
      </w:r>
      <w:r>
        <w:t xml:space="preserve"> Benefit Consumers</w:t>
      </w:r>
    </w:p>
    <w:p w14:paraId="2236E536" w14:textId="51D6034D" w:rsidR="00DF05B0" w:rsidRDefault="00F73481" w:rsidP="003E7812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Several of the provisions in the proposed rule will create new </w:t>
      </w:r>
      <w:r w:rsidR="00255223">
        <w:rPr>
          <w:sz w:val="22"/>
          <w:szCs w:val="22"/>
        </w:rPr>
        <w:t xml:space="preserve">freedom for companies </w:t>
      </w:r>
      <w:r w:rsidR="00637DAD">
        <w:rPr>
          <w:sz w:val="22"/>
          <w:szCs w:val="22"/>
        </w:rPr>
        <w:t xml:space="preserve">participating in the exchanges </w:t>
      </w:r>
      <w:r w:rsidR="008D5ED4">
        <w:rPr>
          <w:sz w:val="22"/>
          <w:szCs w:val="22"/>
        </w:rPr>
        <w:t xml:space="preserve">to </w:t>
      </w:r>
      <w:r w:rsidR="00637DAD">
        <w:rPr>
          <w:sz w:val="22"/>
          <w:szCs w:val="22"/>
        </w:rPr>
        <w:t>offer</w:t>
      </w:r>
      <w:r w:rsidR="008D5ED4">
        <w:rPr>
          <w:sz w:val="22"/>
          <w:szCs w:val="22"/>
        </w:rPr>
        <w:t xml:space="preserve"> new plans and plan types for consumers </w:t>
      </w:r>
      <w:r w:rsidR="001F4956">
        <w:rPr>
          <w:sz w:val="22"/>
          <w:szCs w:val="22"/>
        </w:rPr>
        <w:t>to</w:t>
      </w:r>
      <w:r w:rsidR="008D5ED4">
        <w:rPr>
          <w:sz w:val="22"/>
          <w:szCs w:val="22"/>
        </w:rPr>
        <w:t xml:space="preserve"> choose from. </w:t>
      </w:r>
      <w:r w:rsidR="00AA203B">
        <w:rPr>
          <w:sz w:val="22"/>
          <w:szCs w:val="22"/>
        </w:rPr>
        <w:t xml:space="preserve">Economically, more choices benefit consumers in several ways. First, </w:t>
      </w:r>
      <w:r w:rsidR="00532732">
        <w:rPr>
          <w:sz w:val="22"/>
          <w:szCs w:val="22"/>
        </w:rPr>
        <w:t>even along a single dimension, consumer</w:t>
      </w:r>
      <w:r w:rsidR="00563068">
        <w:rPr>
          <w:sz w:val="22"/>
          <w:szCs w:val="22"/>
        </w:rPr>
        <w:t xml:space="preserve"> preferences</w:t>
      </w:r>
      <w:r w:rsidR="00532732">
        <w:rPr>
          <w:sz w:val="22"/>
          <w:szCs w:val="22"/>
        </w:rPr>
        <w:t xml:space="preserve"> can vary widely</w:t>
      </w:r>
      <w:r w:rsidR="00A24769">
        <w:rPr>
          <w:sz w:val="22"/>
          <w:szCs w:val="22"/>
        </w:rPr>
        <w:t xml:space="preserve">. </w:t>
      </w:r>
      <w:r w:rsidR="00F54367">
        <w:rPr>
          <w:sz w:val="22"/>
          <w:szCs w:val="22"/>
        </w:rPr>
        <w:t>Consider, as an example</w:t>
      </w:r>
      <w:r w:rsidR="00B1253D">
        <w:rPr>
          <w:sz w:val="22"/>
          <w:szCs w:val="22"/>
        </w:rPr>
        <w:t>,</w:t>
      </w:r>
      <w:r w:rsidR="00F54367">
        <w:rPr>
          <w:sz w:val="22"/>
          <w:szCs w:val="22"/>
        </w:rPr>
        <w:t xml:space="preserve"> the color of a car.</w:t>
      </w:r>
      <w:r w:rsidR="00563068">
        <w:rPr>
          <w:sz w:val="22"/>
          <w:szCs w:val="22"/>
        </w:rPr>
        <w:t xml:space="preserve"> T</w:t>
      </w:r>
      <w:r w:rsidR="003A6449">
        <w:rPr>
          <w:sz w:val="22"/>
          <w:szCs w:val="22"/>
        </w:rPr>
        <w:t>here</w:t>
      </w:r>
      <w:r w:rsidR="00563068">
        <w:rPr>
          <w:sz w:val="22"/>
          <w:szCs w:val="22"/>
        </w:rPr>
        <w:t xml:space="preserve"> is not only</w:t>
      </w:r>
      <w:r w:rsidR="003A6449">
        <w:rPr>
          <w:sz w:val="22"/>
          <w:szCs w:val="22"/>
        </w:rPr>
        <w:t xml:space="preserve"> demand f</w:t>
      </w:r>
      <w:r w:rsidR="00563068">
        <w:rPr>
          <w:sz w:val="22"/>
          <w:szCs w:val="22"/>
        </w:rPr>
        <w:t>or</w:t>
      </w:r>
      <w:r w:rsidR="003A6449">
        <w:rPr>
          <w:sz w:val="22"/>
          <w:szCs w:val="22"/>
        </w:rPr>
        <w:t xml:space="preserve"> primary colors</w:t>
      </w:r>
      <w:r w:rsidR="00563068">
        <w:rPr>
          <w:sz w:val="22"/>
          <w:szCs w:val="22"/>
        </w:rPr>
        <w:t xml:space="preserve"> but also for subtle variations in </w:t>
      </w:r>
      <w:r w:rsidR="009A4061">
        <w:rPr>
          <w:sz w:val="22"/>
          <w:szCs w:val="22"/>
        </w:rPr>
        <w:t>shades and tones. When a car manufacturer offers a new color</w:t>
      </w:r>
      <w:r w:rsidR="00C0345B">
        <w:rPr>
          <w:sz w:val="22"/>
          <w:szCs w:val="22"/>
        </w:rPr>
        <w:t>, it benefits the set of consumers who</w:t>
      </w:r>
      <w:r w:rsidR="00563068">
        <w:rPr>
          <w:sz w:val="22"/>
          <w:szCs w:val="22"/>
        </w:rPr>
        <w:t xml:space="preserve"> </w:t>
      </w:r>
      <w:r w:rsidR="00C0345B">
        <w:rPr>
          <w:sz w:val="22"/>
          <w:szCs w:val="22"/>
        </w:rPr>
        <w:t>prefer that color over all others. This is true of every color added</w:t>
      </w:r>
      <w:r w:rsidR="004A030B">
        <w:rPr>
          <w:sz w:val="22"/>
          <w:szCs w:val="22"/>
        </w:rPr>
        <w:t xml:space="preserve"> and applies just as much to health care. Economists call this </w:t>
      </w:r>
      <w:r w:rsidR="00FA5259">
        <w:rPr>
          <w:sz w:val="22"/>
          <w:szCs w:val="22"/>
        </w:rPr>
        <w:t>consumer surplus or consumer welfare and have methods of measuring it.</w:t>
      </w:r>
    </w:p>
    <w:p w14:paraId="27930CF4" w14:textId="4EACFB96" w:rsidR="00FA5259" w:rsidRDefault="00FA5259" w:rsidP="003E7812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However, this </w:t>
      </w:r>
      <w:r w:rsidR="000C6381">
        <w:rPr>
          <w:sz w:val="22"/>
          <w:szCs w:val="22"/>
        </w:rPr>
        <w:t xml:space="preserve">idea applies not only to single dimensions but also to products with multiple dimensions. Extending the car example, </w:t>
      </w:r>
      <w:r w:rsidR="00CC22CB">
        <w:rPr>
          <w:sz w:val="22"/>
          <w:szCs w:val="22"/>
        </w:rPr>
        <w:t xml:space="preserve">there are more variations of cars </w:t>
      </w:r>
      <w:r w:rsidR="00CC22CB">
        <w:rPr>
          <w:sz w:val="22"/>
          <w:szCs w:val="22"/>
        </w:rPr>
        <w:t xml:space="preserve">available to consumers </w:t>
      </w:r>
      <w:r w:rsidR="00CC22CB">
        <w:rPr>
          <w:sz w:val="22"/>
          <w:szCs w:val="22"/>
        </w:rPr>
        <w:t>than</w:t>
      </w:r>
      <w:r w:rsidR="00CC22CB">
        <w:rPr>
          <w:sz w:val="22"/>
          <w:szCs w:val="22"/>
        </w:rPr>
        <w:t xml:space="preserve"> there are</w:t>
      </w:r>
      <w:r w:rsidR="00CC22CB">
        <w:rPr>
          <w:sz w:val="22"/>
          <w:szCs w:val="22"/>
        </w:rPr>
        <w:t xml:space="preserve"> consumers. A market allows consumers to</w:t>
      </w:r>
      <w:r w:rsidR="00992301">
        <w:rPr>
          <w:sz w:val="22"/>
          <w:szCs w:val="22"/>
        </w:rPr>
        <w:t xml:space="preserve"> purchase the products that most closely match their preferences</w:t>
      </w:r>
      <w:r w:rsidR="00563068">
        <w:rPr>
          <w:sz w:val="22"/>
          <w:szCs w:val="22"/>
        </w:rPr>
        <w:t>.</w:t>
      </w:r>
      <w:r w:rsidR="00992301">
        <w:rPr>
          <w:sz w:val="22"/>
          <w:szCs w:val="22"/>
        </w:rPr>
        <w:t xml:space="preserve"> </w:t>
      </w:r>
      <w:r w:rsidR="00563068">
        <w:rPr>
          <w:sz w:val="22"/>
          <w:szCs w:val="22"/>
        </w:rPr>
        <w:t>I</w:t>
      </w:r>
      <w:r w:rsidR="00992301">
        <w:rPr>
          <w:sz w:val="22"/>
          <w:szCs w:val="22"/>
        </w:rPr>
        <w:t>n so doing,</w:t>
      </w:r>
      <w:r w:rsidR="00563068">
        <w:rPr>
          <w:sz w:val="22"/>
          <w:szCs w:val="22"/>
        </w:rPr>
        <w:t xml:space="preserve"> they</w:t>
      </w:r>
      <w:r w:rsidR="00992301">
        <w:rPr>
          <w:sz w:val="22"/>
          <w:szCs w:val="22"/>
        </w:rPr>
        <w:t xml:space="preserve"> signal to producer</w:t>
      </w:r>
      <w:r w:rsidR="00563068">
        <w:rPr>
          <w:sz w:val="22"/>
          <w:szCs w:val="22"/>
        </w:rPr>
        <w:t>s</w:t>
      </w:r>
      <w:r w:rsidR="00992301">
        <w:rPr>
          <w:sz w:val="22"/>
          <w:szCs w:val="22"/>
        </w:rPr>
        <w:t xml:space="preserve"> which factors they </w:t>
      </w:r>
      <w:r w:rsidR="00563068">
        <w:rPr>
          <w:sz w:val="22"/>
          <w:szCs w:val="22"/>
        </w:rPr>
        <w:t>value most</w:t>
      </w:r>
      <w:r w:rsidR="00992301">
        <w:rPr>
          <w:sz w:val="22"/>
          <w:szCs w:val="22"/>
        </w:rPr>
        <w:t xml:space="preserve"> so that producer</w:t>
      </w:r>
      <w:r w:rsidR="00563068">
        <w:rPr>
          <w:sz w:val="22"/>
          <w:szCs w:val="22"/>
        </w:rPr>
        <w:t>s</w:t>
      </w:r>
      <w:r w:rsidR="00992301">
        <w:rPr>
          <w:sz w:val="22"/>
          <w:szCs w:val="22"/>
        </w:rPr>
        <w:t xml:space="preserve"> can focus </w:t>
      </w:r>
      <w:r w:rsidR="00B43E10">
        <w:rPr>
          <w:sz w:val="22"/>
          <w:szCs w:val="22"/>
        </w:rPr>
        <w:t>their design decision</w:t>
      </w:r>
      <w:r w:rsidR="00563068">
        <w:rPr>
          <w:sz w:val="22"/>
          <w:szCs w:val="22"/>
        </w:rPr>
        <w:t>s</w:t>
      </w:r>
      <w:r w:rsidR="00B43E10">
        <w:rPr>
          <w:sz w:val="22"/>
          <w:szCs w:val="22"/>
        </w:rPr>
        <w:t>. In health insurance this takes the form of deductibles, copays, utilization management, networks, formularies</w:t>
      </w:r>
      <w:r w:rsidR="00F30ED6">
        <w:rPr>
          <w:sz w:val="22"/>
          <w:szCs w:val="22"/>
        </w:rPr>
        <w:t>, customer service, actuarial value, etc.</w:t>
      </w:r>
    </w:p>
    <w:p w14:paraId="2FAF9952" w14:textId="76225E90" w:rsidR="008F30DC" w:rsidRPr="003E7812" w:rsidRDefault="008F30DC" w:rsidP="003E7812">
      <w:pPr>
        <w:pStyle w:val="BodyTex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This principle applies most obviously to the proposal to allow for </w:t>
      </w:r>
      <w:r w:rsidR="001673B4">
        <w:rPr>
          <w:sz w:val="22"/>
          <w:szCs w:val="22"/>
        </w:rPr>
        <w:t>non-standardized plans</w:t>
      </w:r>
      <w:r w:rsidR="00C120CA">
        <w:rPr>
          <w:rStyle w:val="FootnoteReference"/>
          <w:sz w:val="22"/>
          <w:szCs w:val="22"/>
        </w:rPr>
        <w:footnoteReference w:id="1"/>
      </w:r>
      <w:r w:rsidR="001673B4">
        <w:rPr>
          <w:sz w:val="22"/>
          <w:szCs w:val="22"/>
        </w:rPr>
        <w:t xml:space="preserve"> </w:t>
      </w:r>
      <w:r w:rsidR="001673B4" w:rsidRPr="00260869">
        <w:rPr>
          <w:sz w:val="22"/>
          <w:szCs w:val="22"/>
        </w:rPr>
        <w:t xml:space="preserve">and </w:t>
      </w:r>
      <w:r w:rsidR="0031746D" w:rsidRPr="00260869">
        <w:rPr>
          <w:sz w:val="22"/>
          <w:szCs w:val="22"/>
        </w:rPr>
        <w:t>non-network plans,</w:t>
      </w:r>
      <w:r w:rsidR="00334E9A">
        <w:rPr>
          <w:rStyle w:val="FootnoteReference"/>
          <w:sz w:val="22"/>
          <w:szCs w:val="22"/>
        </w:rPr>
        <w:footnoteReference w:id="2"/>
      </w:r>
      <w:r w:rsidR="0031746D" w:rsidRPr="00260869">
        <w:rPr>
          <w:sz w:val="22"/>
          <w:szCs w:val="22"/>
        </w:rPr>
        <w:t xml:space="preserve"> but also to the </w:t>
      </w:r>
      <w:r w:rsidR="00C034A7" w:rsidRPr="00260869">
        <w:rPr>
          <w:sz w:val="22"/>
          <w:szCs w:val="22"/>
        </w:rPr>
        <w:t>allowance for 10-year catastrophic plans,</w:t>
      </w:r>
      <w:r w:rsidR="00C120CA">
        <w:rPr>
          <w:rStyle w:val="FootnoteReference"/>
          <w:sz w:val="22"/>
          <w:szCs w:val="22"/>
        </w:rPr>
        <w:footnoteReference w:id="3"/>
      </w:r>
      <w:r w:rsidR="00260869" w:rsidRPr="00260869">
        <w:rPr>
          <w:sz w:val="22"/>
          <w:szCs w:val="22"/>
        </w:rPr>
        <w:t xml:space="preserve"> and</w:t>
      </w:r>
      <w:r w:rsidR="00C034A7" w:rsidRPr="00260869">
        <w:rPr>
          <w:sz w:val="22"/>
          <w:szCs w:val="22"/>
        </w:rPr>
        <w:t xml:space="preserve"> </w:t>
      </w:r>
      <w:r w:rsidR="00B551CF" w:rsidRPr="00260869">
        <w:rPr>
          <w:sz w:val="22"/>
          <w:szCs w:val="22"/>
        </w:rPr>
        <w:t>privatization</w:t>
      </w:r>
      <w:r w:rsidR="00CA3B48">
        <w:rPr>
          <w:sz w:val="22"/>
          <w:szCs w:val="22"/>
        </w:rPr>
        <w:t xml:space="preserve"> of</w:t>
      </w:r>
      <w:r w:rsidR="00B551CF" w:rsidRPr="00260869">
        <w:rPr>
          <w:sz w:val="22"/>
          <w:szCs w:val="22"/>
        </w:rPr>
        <w:t xml:space="preserve"> states’ enrollment portals</w:t>
      </w:r>
      <w:r w:rsidR="00260869">
        <w:rPr>
          <w:sz w:val="22"/>
          <w:szCs w:val="22"/>
        </w:rPr>
        <w:t>.</w:t>
      </w:r>
      <w:r w:rsidR="00C120CA">
        <w:rPr>
          <w:rStyle w:val="FootnoteReference"/>
          <w:sz w:val="22"/>
          <w:szCs w:val="22"/>
        </w:rPr>
        <w:footnoteReference w:id="4"/>
      </w:r>
      <w:r w:rsidR="003B640E">
        <w:rPr>
          <w:sz w:val="22"/>
          <w:szCs w:val="22"/>
        </w:rPr>
        <w:t xml:space="preserve"> Each of these provisions will open up the ACA market to more consumer-driven innovation and products.</w:t>
      </w:r>
      <w:r w:rsidR="001D7808">
        <w:rPr>
          <w:sz w:val="22"/>
          <w:szCs w:val="22"/>
        </w:rPr>
        <w:t xml:space="preserve"> </w:t>
      </w:r>
      <w:r w:rsidR="005379FD">
        <w:rPr>
          <w:sz w:val="22"/>
          <w:szCs w:val="22"/>
        </w:rPr>
        <w:t xml:space="preserve">These deregulatory provisions allow for product innovation which, when paired with strong competition, will drive the market away from </w:t>
      </w:r>
      <w:r w:rsidR="00761413">
        <w:rPr>
          <w:sz w:val="22"/>
          <w:szCs w:val="22"/>
        </w:rPr>
        <w:t xml:space="preserve">products designed by legislators and administrators who </w:t>
      </w:r>
      <w:r w:rsidR="00D906DC">
        <w:rPr>
          <w:sz w:val="22"/>
          <w:szCs w:val="22"/>
        </w:rPr>
        <w:t>created</w:t>
      </w:r>
      <w:r w:rsidR="00C25C79">
        <w:rPr>
          <w:sz w:val="22"/>
          <w:szCs w:val="22"/>
        </w:rPr>
        <w:t xml:space="preserve"> the system </w:t>
      </w:r>
      <w:r w:rsidR="00D906DC">
        <w:rPr>
          <w:sz w:val="22"/>
          <w:szCs w:val="22"/>
        </w:rPr>
        <w:t>15</w:t>
      </w:r>
      <w:r w:rsidR="00C25C79">
        <w:rPr>
          <w:sz w:val="22"/>
          <w:szCs w:val="22"/>
        </w:rPr>
        <w:t xml:space="preserve"> years ago and toward today’s consumers facing today’s economic reality.</w:t>
      </w:r>
    </w:p>
    <w:p w14:paraId="629071F1" w14:textId="0AA307E4" w:rsidR="00076D13" w:rsidRDefault="004B6141" w:rsidP="002572A2">
      <w:pPr>
        <w:rPr>
          <w:rFonts w:cs="Times New Roman"/>
        </w:rPr>
      </w:pPr>
      <w:r>
        <w:rPr>
          <w:rFonts w:cs="Times New Roman"/>
        </w:rPr>
        <w:t xml:space="preserve">Many </w:t>
      </w:r>
      <w:r w:rsidR="00E44464">
        <w:rPr>
          <w:rFonts w:cs="Times New Roman"/>
        </w:rPr>
        <w:t>argue that standardization brings benefits, too. In particular</w:t>
      </w:r>
      <w:r w:rsidR="00ED0B65">
        <w:rPr>
          <w:rFonts w:cs="Times New Roman"/>
        </w:rPr>
        <w:t xml:space="preserve">, it makes comparing and shopping easier. Of course, that’s true, but </w:t>
      </w:r>
      <w:r w:rsidR="00430FCA">
        <w:rPr>
          <w:rFonts w:cs="Times New Roman"/>
        </w:rPr>
        <w:t xml:space="preserve">it comes at a great cost. It makes shopping easier because it’s narrowing the dimensions along which consumers can choose, </w:t>
      </w:r>
      <w:r w:rsidR="009C76C6">
        <w:rPr>
          <w:rFonts w:cs="Times New Roman"/>
        </w:rPr>
        <w:t>and focusing the consumers</w:t>
      </w:r>
      <w:r w:rsidR="009D3DC7">
        <w:rPr>
          <w:rFonts w:cs="Times New Roman"/>
        </w:rPr>
        <w:t>’ comparison shopping on</w:t>
      </w:r>
      <w:r w:rsidR="009C76C6">
        <w:rPr>
          <w:rFonts w:cs="Times New Roman"/>
        </w:rPr>
        <w:t xml:space="preserve"> price alone, but price is not the only factor consumers care about.</w:t>
      </w:r>
      <w:r w:rsidR="003C3F0A">
        <w:rPr>
          <w:rFonts w:cs="Times New Roman"/>
        </w:rPr>
        <w:t xml:space="preserve"> The </w:t>
      </w:r>
      <w:r w:rsidR="003964F3">
        <w:rPr>
          <w:rFonts w:cs="Times New Roman"/>
        </w:rPr>
        <w:t xml:space="preserve">lesson becomes stark when you apply it to other goods. If the government mandated a single car design, for example, and let manufacturers all produce the same car and compete on price, </w:t>
      </w:r>
      <w:r w:rsidR="009E039B">
        <w:rPr>
          <w:rFonts w:cs="Times New Roman"/>
        </w:rPr>
        <w:t xml:space="preserve">the consequences are clearer. The existing variety of cars would cease to exist, and consumers would certainly be worse off. </w:t>
      </w:r>
      <w:r w:rsidR="00052D55">
        <w:rPr>
          <w:rFonts w:cs="Times New Roman"/>
        </w:rPr>
        <w:t>The reverse is true in health insurance, by allowing firms to offer more choices</w:t>
      </w:r>
      <w:r w:rsidR="006D570D">
        <w:rPr>
          <w:rFonts w:cs="Times New Roman"/>
        </w:rPr>
        <w:t xml:space="preserve">, consumers will </w:t>
      </w:r>
      <w:r w:rsidR="00D906DC">
        <w:rPr>
          <w:rFonts w:cs="Times New Roman"/>
        </w:rPr>
        <w:t>guide</w:t>
      </w:r>
      <w:r w:rsidR="006D570D">
        <w:rPr>
          <w:rFonts w:cs="Times New Roman"/>
        </w:rPr>
        <w:t xml:space="preserve"> them t</w:t>
      </w:r>
      <w:r w:rsidR="00D906DC">
        <w:rPr>
          <w:rFonts w:cs="Times New Roman"/>
        </w:rPr>
        <w:t>oward</w:t>
      </w:r>
      <w:r w:rsidR="006D570D">
        <w:rPr>
          <w:rFonts w:cs="Times New Roman"/>
        </w:rPr>
        <w:t xml:space="preserve"> plans that best meet </w:t>
      </w:r>
      <w:r w:rsidR="00890A20">
        <w:rPr>
          <w:rFonts w:cs="Times New Roman"/>
        </w:rPr>
        <w:t>the</w:t>
      </w:r>
      <w:r w:rsidR="00D906DC">
        <w:rPr>
          <w:rFonts w:cs="Times New Roman"/>
        </w:rPr>
        <w:t xml:space="preserve">ir </w:t>
      </w:r>
      <w:r w:rsidR="00890A20">
        <w:rPr>
          <w:rFonts w:cs="Times New Roman"/>
        </w:rPr>
        <w:t>needs.</w:t>
      </w:r>
    </w:p>
    <w:p w14:paraId="44E9AC65" w14:textId="2F12C569" w:rsidR="00890A20" w:rsidRDefault="00890A20" w:rsidP="008C6ABB">
      <w:pPr>
        <w:rPr>
          <w:rFonts w:cs="Times New Roman"/>
        </w:rPr>
      </w:pPr>
      <w:r>
        <w:rPr>
          <w:rFonts w:cs="Times New Roman"/>
        </w:rPr>
        <w:t xml:space="preserve">Another important </w:t>
      </w:r>
      <w:r w:rsidR="00BC163A">
        <w:rPr>
          <w:rFonts w:cs="Times New Roman"/>
        </w:rPr>
        <w:t xml:space="preserve">point to remember is that this is not exclusively about standardization </w:t>
      </w:r>
      <w:r w:rsidR="00D906DC">
        <w:rPr>
          <w:rFonts w:cs="Times New Roman"/>
        </w:rPr>
        <w:t>itself</w:t>
      </w:r>
      <w:r w:rsidR="00BC163A">
        <w:rPr>
          <w:rFonts w:cs="Times New Roman"/>
        </w:rPr>
        <w:t xml:space="preserve">, but government-imposed standardization versus market-driven standardization. Government-imposed standardizations </w:t>
      </w:r>
      <w:r w:rsidR="00D906DC">
        <w:rPr>
          <w:rFonts w:cs="Times New Roman"/>
        </w:rPr>
        <w:t>often reflect administrative convenience rather than consumer preference</w:t>
      </w:r>
      <w:r w:rsidR="00A9163E">
        <w:rPr>
          <w:rFonts w:cs="Times New Roman"/>
        </w:rPr>
        <w:t>. Government-imposed standards</w:t>
      </w:r>
      <w:r w:rsidR="00290DF6">
        <w:rPr>
          <w:rFonts w:cs="Times New Roman"/>
        </w:rPr>
        <w:t xml:space="preserve"> </w:t>
      </w:r>
      <w:r w:rsidR="000D72BF">
        <w:rPr>
          <w:rFonts w:cs="Times New Roman"/>
        </w:rPr>
        <w:t>are</w:t>
      </w:r>
      <w:r w:rsidR="00D906DC">
        <w:rPr>
          <w:rFonts w:cs="Times New Roman"/>
        </w:rPr>
        <w:t xml:space="preserve"> also</w:t>
      </w:r>
      <w:r w:rsidR="000D72BF">
        <w:rPr>
          <w:rFonts w:cs="Times New Roman"/>
        </w:rPr>
        <w:t xml:space="preserve"> inflexible as economic conditions and preferences change, which is less true of market-driven standards.</w:t>
      </w:r>
    </w:p>
    <w:p w14:paraId="64D44D2C" w14:textId="445937BB" w:rsidR="00A560F0" w:rsidRPr="00A6240A" w:rsidRDefault="001F1CA7" w:rsidP="00A6240A">
      <w:pPr>
        <w:rPr>
          <w:rFonts w:cs="Times New Roman"/>
        </w:rPr>
      </w:pPr>
      <w:r>
        <w:rPr>
          <w:rFonts w:cs="Times New Roman"/>
        </w:rPr>
        <w:t xml:space="preserve">While the previous </w:t>
      </w:r>
      <w:r w:rsidR="00C637BE">
        <w:rPr>
          <w:rFonts w:cs="Times New Roman"/>
        </w:rPr>
        <w:t xml:space="preserve">points apply fairly broadly to several of the provisions, next I lay out some </w:t>
      </w:r>
      <w:r w:rsidR="00C637BE" w:rsidRPr="00A6240A">
        <w:rPr>
          <w:rFonts w:cs="Times New Roman"/>
        </w:rPr>
        <w:t xml:space="preserve">arguments </w:t>
      </w:r>
      <w:r w:rsidR="008C07B9" w:rsidRPr="00A6240A">
        <w:rPr>
          <w:rFonts w:cs="Times New Roman"/>
        </w:rPr>
        <w:t xml:space="preserve">specific to certain </w:t>
      </w:r>
      <w:r w:rsidR="00C637BE" w:rsidRPr="00A6240A">
        <w:rPr>
          <w:rFonts w:cs="Times New Roman"/>
        </w:rPr>
        <w:t>provisions.</w:t>
      </w:r>
    </w:p>
    <w:p w14:paraId="5164B947" w14:textId="08287159" w:rsidR="00A6240A" w:rsidRPr="00A6240A" w:rsidRDefault="0054069D" w:rsidP="00CC4CD5">
      <w:r w:rsidRPr="00A6240A">
        <w:t>CMS</w:t>
      </w:r>
      <w:r w:rsidR="00D906DC">
        <w:t xml:space="preserve"> recently</w:t>
      </w:r>
      <w:r w:rsidRPr="00A6240A">
        <w:t xml:space="preserve"> propose</w:t>
      </w:r>
      <w:r w:rsidR="00D906DC">
        <w:t>d</w:t>
      </w:r>
      <w:r w:rsidRPr="00A6240A">
        <w:t xml:space="preserve"> to allow 10-year catastrophic plans.</w:t>
      </w:r>
      <w:r w:rsidR="00C120CA">
        <w:rPr>
          <w:rStyle w:val="FootnoteReference"/>
        </w:rPr>
        <w:footnoteReference w:id="5"/>
      </w:r>
      <w:r w:rsidRPr="00A6240A">
        <w:t xml:space="preserve"> </w:t>
      </w:r>
      <w:r w:rsidR="00D906DC">
        <w:t>These l</w:t>
      </w:r>
      <w:r w:rsidR="004957BF" w:rsidRPr="00A6240A">
        <w:t>onger</w:t>
      </w:r>
      <w:r w:rsidR="00D906DC">
        <w:t>-</w:t>
      </w:r>
      <w:r w:rsidR="004957BF" w:rsidRPr="00A6240A">
        <w:t>term plans have been relatively uncommon in the health care system</w:t>
      </w:r>
      <w:r w:rsidR="002F1CFA" w:rsidRPr="00A6240A">
        <w:t xml:space="preserve">, but they provide several advantages. </w:t>
      </w:r>
      <w:r w:rsidR="0078184C" w:rsidRPr="00A6240A">
        <w:t>Economist</w:t>
      </w:r>
      <w:r w:rsidR="00DA17D2">
        <w:t>s</w:t>
      </w:r>
      <w:r w:rsidR="0078184C" w:rsidRPr="00A6240A">
        <w:t xml:space="preserve"> have found that long-term health insurance contracts generate benefits and increases in consumer surplus for consumers</w:t>
      </w:r>
      <w:r w:rsidR="00716FA2" w:rsidRPr="00A6240A">
        <w:t>.</w:t>
      </w:r>
      <w:r w:rsidR="00716FA2" w:rsidRPr="00A6240A">
        <w:rPr>
          <w:rStyle w:val="FootnoteReference"/>
          <w:rFonts w:cs="Times New Roman"/>
          <w:color w:val="000000" w:themeColor="text1"/>
        </w:rPr>
        <w:footnoteReference w:id="6"/>
      </w:r>
      <w:r w:rsidR="002F1CFA" w:rsidRPr="00A6240A">
        <w:t xml:space="preserve"> Studies o</w:t>
      </w:r>
      <w:r w:rsidR="00D906DC">
        <w:t>f</w:t>
      </w:r>
      <w:r w:rsidR="002F1CFA" w:rsidRPr="00A6240A">
        <w:t xml:space="preserve"> long-term contracts in Germany also found that they benefit enrollees and Germany’s implementation achieves almost the welfare-maximizing plan design.</w:t>
      </w:r>
      <w:r w:rsidR="002F1CFA" w:rsidRPr="00A6240A">
        <w:rPr>
          <w:rStyle w:val="FootnoteReference"/>
          <w:rFonts w:cs="Times New Roman"/>
          <w:color w:val="000000" w:themeColor="text1"/>
        </w:rPr>
        <w:footnoteReference w:id="7"/>
      </w:r>
      <w:r w:rsidR="002F1CFA" w:rsidRPr="00A6240A">
        <w:t xml:space="preserve"> </w:t>
      </w:r>
      <w:r w:rsidR="00A6240A" w:rsidRPr="00A6240A">
        <w:t xml:space="preserve">Economists </w:t>
      </w:r>
      <w:r w:rsidR="00862D23">
        <w:t xml:space="preserve">have also </w:t>
      </w:r>
      <w:r w:rsidR="00A6240A" w:rsidRPr="00A6240A">
        <w:t xml:space="preserve">found that guaranteed renewability, which is a slightly different version of a long-term contract, is superior to </w:t>
      </w:r>
      <w:r w:rsidR="00A6240A" w:rsidRPr="00A6240A">
        <w:lastRenderedPageBreak/>
        <w:t>community-rating, the alternative which dominates in the current ACA.</w:t>
      </w:r>
      <w:r w:rsidR="00A6240A" w:rsidRPr="00C120CA">
        <w:rPr>
          <w:vertAlign w:val="superscript"/>
        </w:rPr>
        <w:footnoteReference w:id="8"/>
      </w:r>
    </w:p>
    <w:p w14:paraId="03359F83" w14:textId="3C1BD813" w:rsidR="002F1CFA" w:rsidRPr="00CC4CD5" w:rsidRDefault="007317C6" w:rsidP="00CC4CD5">
      <w:r w:rsidRPr="00CC4CD5">
        <w:t xml:space="preserve">Community rating </w:t>
      </w:r>
      <w:r w:rsidR="00A17CD8" w:rsidRPr="00CC4CD5">
        <w:t>is often considered an alternative to long-term contracts</w:t>
      </w:r>
      <w:r w:rsidR="001D2AE1" w:rsidRPr="00CC4CD5">
        <w:t xml:space="preserve"> because it pools risks among a broad set of enrollees. However, it also </w:t>
      </w:r>
      <w:r w:rsidRPr="00CC4CD5">
        <w:t>incentiv</w:t>
      </w:r>
      <w:r w:rsidR="00D906DC">
        <w:t>iz</w:t>
      </w:r>
      <w:r w:rsidRPr="00CC4CD5">
        <w:t>es adverse selection, meaning tha</w:t>
      </w:r>
      <w:r w:rsidR="00A17CD8" w:rsidRPr="00CC4CD5">
        <w:t>t when everyone pays the same price</w:t>
      </w:r>
      <w:r w:rsidR="001D2AE1" w:rsidRPr="00CC4CD5">
        <w:t>, the people who have the highest risks</w:t>
      </w:r>
      <w:r w:rsidR="006F048D" w:rsidRPr="00CC4CD5">
        <w:t xml:space="preserve"> stand to gain from being included with people with low costs, and the people with low costs are </w:t>
      </w:r>
      <w:r w:rsidR="00376E4A" w:rsidRPr="00CC4CD5">
        <w:t xml:space="preserve">paying higher premiums, subsidizing the </w:t>
      </w:r>
      <w:r w:rsidR="00D906DC" w:rsidRPr="00CC4CD5">
        <w:t>high-risk</w:t>
      </w:r>
      <w:r w:rsidR="00376E4A" w:rsidRPr="00CC4CD5">
        <w:t xml:space="preserve"> participants. This leads the low-cost, low-risk participants to want to leave the </w:t>
      </w:r>
      <w:r w:rsidR="00B86DB4" w:rsidRPr="00CC4CD5">
        <w:t xml:space="preserve">pool yet attracts more high-cost, high-risk participants. The result is that average costs and premiums go up and healthy people </w:t>
      </w:r>
      <w:r w:rsidR="00E56250">
        <w:t>become</w:t>
      </w:r>
      <w:r w:rsidR="00B86DB4" w:rsidRPr="00CC4CD5">
        <w:t xml:space="preserve"> uninsured.</w:t>
      </w:r>
    </w:p>
    <w:p w14:paraId="377C0741" w14:textId="65785034" w:rsidR="00A560F0" w:rsidRPr="00933154" w:rsidRDefault="002F297D" w:rsidP="00890628">
      <w:pPr>
        <w:rPr>
          <w:rFonts w:cs="Times New Roman"/>
          <w:color w:val="ED7D31" w:themeColor="accent2"/>
        </w:rPr>
      </w:pPr>
      <w:r w:rsidRPr="00CC4CD5">
        <w:t>Long-term contracts reduce this probl</w:t>
      </w:r>
      <w:r w:rsidR="00A638A8" w:rsidRPr="00CC4CD5">
        <w:t>em. They also create stronger incentives for plan providers to provide preventative services</w:t>
      </w:r>
      <w:r w:rsidR="005F18C9" w:rsidRPr="00CC4CD5">
        <w:t xml:space="preserve">, as they want the enrollees’ long-term health to remain good and reduce costs. Since their </w:t>
      </w:r>
      <w:r w:rsidR="005F18C9" w:rsidRPr="00933154">
        <w:t>revenues can’t adjust to account for increased costs, the plans’ incentives are to keep costs low.</w:t>
      </w:r>
    </w:p>
    <w:p w14:paraId="0FBE8C76" w14:textId="7646254D" w:rsidR="00585590" w:rsidRPr="00933154" w:rsidRDefault="00890628" w:rsidP="00910EDE">
      <w:pPr>
        <w:rPr>
          <w:color w:val="000000" w:themeColor="text1"/>
        </w:rPr>
      </w:pPr>
      <w:r w:rsidRPr="00933154">
        <w:t>CMS also proposes allow</w:t>
      </w:r>
      <w:r w:rsidR="00D906DC">
        <w:t>ing</w:t>
      </w:r>
      <w:r w:rsidRPr="00933154">
        <w:t xml:space="preserve"> non-network </w:t>
      </w:r>
      <w:r w:rsidRPr="00933154">
        <w:rPr>
          <w:color w:val="000000" w:themeColor="text1"/>
        </w:rPr>
        <w:t>plans to</w:t>
      </w:r>
      <w:r w:rsidR="001078AE">
        <w:rPr>
          <w:color w:val="000000" w:themeColor="text1"/>
        </w:rPr>
        <w:t xml:space="preserve"> be available to exchange participants</w:t>
      </w:r>
      <w:r w:rsidRPr="00933154">
        <w:rPr>
          <w:color w:val="000000" w:themeColor="text1"/>
        </w:rPr>
        <w:t>.</w:t>
      </w:r>
      <w:r w:rsidR="00563CB1">
        <w:rPr>
          <w:rStyle w:val="FootnoteReference"/>
          <w:color w:val="000000" w:themeColor="text1"/>
        </w:rPr>
        <w:footnoteReference w:id="9"/>
      </w:r>
      <w:r w:rsidR="00D3261D" w:rsidRPr="00933154">
        <w:rPr>
          <w:color w:val="000000" w:themeColor="text1"/>
        </w:rPr>
        <w:t xml:space="preserve"> CMS</w:t>
      </w:r>
      <w:r w:rsidR="00D906DC">
        <w:rPr>
          <w:color w:val="000000" w:themeColor="text1"/>
        </w:rPr>
        <w:t xml:space="preserve"> </w:t>
      </w:r>
      <w:r w:rsidR="00D3261D" w:rsidRPr="00933154">
        <w:rPr>
          <w:color w:val="000000" w:themeColor="text1"/>
        </w:rPr>
        <w:t>hope</w:t>
      </w:r>
      <w:r w:rsidR="00D906DC">
        <w:rPr>
          <w:color w:val="000000" w:themeColor="text1"/>
        </w:rPr>
        <w:t>s</w:t>
      </w:r>
      <w:r w:rsidR="00D3261D" w:rsidRPr="00933154">
        <w:rPr>
          <w:color w:val="000000" w:themeColor="text1"/>
        </w:rPr>
        <w:t xml:space="preserve"> that companies will offer plans that rely on </w:t>
      </w:r>
      <w:r w:rsidR="00910EDE" w:rsidRPr="00933154">
        <w:rPr>
          <w:color w:val="000000" w:themeColor="text1"/>
        </w:rPr>
        <w:t>reference pricing</w:t>
      </w:r>
      <w:r w:rsidR="00D906DC">
        <w:rPr>
          <w:color w:val="000000" w:themeColor="text1"/>
        </w:rPr>
        <w:t xml:space="preserve"> rather than</w:t>
      </w:r>
      <w:r w:rsidR="00910EDE" w:rsidRPr="00933154">
        <w:rPr>
          <w:color w:val="000000" w:themeColor="text1"/>
        </w:rPr>
        <w:t xml:space="preserve"> network management to control costs. </w:t>
      </w:r>
      <w:r w:rsidR="00585590" w:rsidRPr="00933154">
        <w:rPr>
          <w:color w:val="000000" w:themeColor="text1"/>
        </w:rPr>
        <w:t>Several studies have shown that reference pricing reduces</w:t>
      </w:r>
      <w:r w:rsidR="00CE3135" w:rsidRPr="00933154">
        <w:rPr>
          <w:color w:val="000000" w:themeColor="text1"/>
        </w:rPr>
        <w:t xml:space="preserve"> provider prices.</w:t>
      </w:r>
      <w:r w:rsidR="00CA6F78" w:rsidRPr="00933154">
        <w:rPr>
          <w:rStyle w:val="FootnoteReference"/>
          <w:rFonts w:cs="Times New Roman"/>
          <w:color w:val="000000" w:themeColor="text1"/>
        </w:rPr>
        <w:footnoteReference w:id="10"/>
      </w:r>
      <w:r w:rsidR="00350536" w:rsidRPr="00933154">
        <w:rPr>
          <w:color w:val="000000" w:themeColor="text1"/>
        </w:rPr>
        <w:t xml:space="preserve"> A study in California found that </w:t>
      </w:r>
      <w:r w:rsidR="00E23199" w:rsidRPr="00933154">
        <w:rPr>
          <w:color w:val="000000" w:themeColor="text1"/>
        </w:rPr>
        <w:t>reference pricing reduced prices by nearly 20 percent.</w:t>
      </w:r>
      <w:r w:rsidR="00E23199" w:rsidRPr="00933154">
        <w:rPr>
          <w:rStyle w:val="FootnoteReference"/>
          <w:rFonts w:cs="Times New Roman"/>
          <w:color w:val="000000" w:themeColor="text1"/>
        </w:rPr>
        <w:footnoteReference w:id="11"/>
      </w:r>
      <w:r w:rsidR="00CE3135" w:rsidRPr="00933154">
        <w:rPr>
          <w:color w:val="000000" w:themeColor="text1"/>
        </w:rPr>
        <w:t xml:space="preserve"> In addition, economists found that there </w:t>
      </w:r>
      <w:r w:rsidR="00CE3135" w:rsidRPr="00933154">
        <w:t xml:space="preserve">are spill-over </w:t>
      </w:r>
      <w:r w:rsidR="00CE3135" w:rsidRPr="00933154">
        <w:rPr>
          <w:color w:val="000000" w:themeColor="text1"/>
        </w:rPr>
        <w:t>effects even for consumers using traditional plans.</w:t>
      </w:r>
      <w:r w:rsidR="00CE3135" w:rsidRPr="00933154">
        <w:rPr>
          <w:rStyle w:val="FootnoteReference"/>
          <w:rFonts w:cs="Times New Roman"/>
          <w:color w:val="000000" w:themeColor="text1"/>
        </w:rPr>
        <w:footnoteReference w:id="12"/>
      </w:r>
    </w:p>
    <w:p w14:paraId="3D4A2D4A" w14:textId="62317077" w:rsidR="00FE5793" w:rsidRPr="00504741" w:rsidRDefault="00D906DC" w:rsidP="00504741">
      <w:pPr>
        <w:rPr>
          <w:color w:val="000000" w:themeColor="text1"/>
        </w:rPr>
      </w:pPr>
      <w:r>
        <w:rPr>
          <w:color w:val="000000" w:themeColor="text1"/>
        </w:rPr>
        <w:t>S</w:t>
      </w:r>
      <w:r w:rsidR="00232788">
        <w:rPr>
          <w:color w:val="000000" w:themeColor="text1"/>
        </w:rPr>
        <w:t xml:space="preserve">uch non-network plans </w:t>
      </w:r>
      <w:r w:rsidR="002D0282">
        <w:rPr>
          <w:color w:val="000000" w:themeColor="text1"/>
        </w:rPr>
        <w:t xml:space="preserve">provide several other benefits to consumers. First, as discussed previously, consumer preferences vary widely across consumers. </w:t>
      </w:r>
      <w:r w:rsidR="000E50EB">
        <w:rPr>
          <w:color w:val="000000" w:themeColor="text1"/>
        </w:rPr>
        <w:t xml:space="preserve">Two of these dimensions are quality of service and geographical convenience. </w:t>
      </w:r>
      <w:r w:rsidR="00FB12D8">
        <w:rPr>
          <w:color w:val="000000" w:themeColor="text1"/>
        </w:rPr>
        <w:t>Plans that manage networks largely make these decisions for their enrolle</w:t>
      </w:r>
      <w:r w:rsidR="00F55037">
        <w:rPr>
          <w:color w:val="000000" w:themeColor="text1"/>
        </w:rPr>
        <w:t>e</w:t>
      </w:r>
      <w:r w:rsidR="00FB12D8">
        <w:rPr>
          <w:color w:val="000000" w:themeColor="text1"/>
        </w:rPr>
        <w:t xml:space="preserve">s. Only certain providers are in network which restricts the choices of the enrollees both geographically and </w:t>
      </w:r>
      <w:r w:rsidR="00145EC2">
        <w:rPr>
          <w:color w:val="000000" w:themeColor="text1"/>
        </w:rPr>
        <w:t xml:space="preserve">for quality. If an enrollee wants to go to a nearby provider that’s out-of-network, or a far-away provider that is highest rated in the world but </w:t>
      </w:r>
      <w:r>
        <w:rPr>
          <w:color w:val="000000" w:themeColor="text1"/>
        </w:rPr>
        <w:t>expensive</w:t>
      </w:r>
      <w:r w:rsidR="00145EC2">
        <w:rPr>
          <w:color w:val="000000" w:themeColor="text1"/>
        </w:rPr>
        <w:t>, a non-network plan makes that much easier for them</w:t>
      </w:r>
      <w:r w:rsidR="00D71F68">
        <w:rPr>
          <w:color w:val="000000" w:themeColor="text1"/>
        </w:rPr>
        <w:t>. In a way, it is devolving choice of provider from the insurance company to the enrollee</w:t>
      </w:r>
      <w:r w:rsidR="00F24B79">
        <w:rPr>
          <w:color w:val="000000" w:themeColor="text1"/>
        </w:rPr>
        <w:t xml:space="preserve"> and making that choice even more consumer</w:t>
      </w:r>
      <w:r w:rsidR="00EE35EF">
        <w:rPr>
          <w:color w:val="000000" w:themeColor="text1"/>
        </w:rPr>
        <w:t>-</w:t>
      </w:r>
      <w:r w:rsidR="00F24B79">
        <w:rPr>
          <w:color w:val="000000" w:themeColor="text1"/>
        </w:rPr>
        <w:t>driven than the provisions discussed previously</w:t>
      </w:r>
      <w:r w:rsidR="00EE35EF">
        <w:rPr>
          <w:color w:val="000000" w:themeColor="text1"/>
        </w:rPr>
        <w:t>.</w:t>
      </w:r>
    </w:p>
    <w:p w14:paraId="751C5972" w14:textId="1B225016" w:rsidR="00FE5793" w:rsidRDefault="00FE5793" w:rsidP="00335868">
      <w:pPr>
        <w:pStyle w:val="Heading1"/>
      </w:pPr>
      <w:r>
        <w:t>Fraud</w:t>
      </w:r>
    </w:p>
    <w:p w14:paraId="5D5838CD" w14:textId="01BE77D4" w:rsidR="007E602E" w:rsidRDefault="003A28A0" w:rsidP="00A46F94">
      <w:r w:rsidRPr="00A46F94">
        <w:t xml:space="preserve">Several of the provisions in the proposed rule are designed to </w:t>
      </w:r>
      <w:r w:rsidR="00D301DD" w:rsidRPr="00A46F94">
        <w:t xml:space="preserve">reduce potential fraud or improper enrollment in the exchange. These include additional verification </w:t>
      </w:r>
      <w:r w:rsidR="000A73D1" w:rsidRPr="00A46F94">
        <w:t xml:space="preserve">restrictions </w:t>
      </w:r>
      <w:r w:rsidR="00D906DC">
        <w:t>when</w:t>
      </w:r>
      <w:r w:rsidR="00A3180E">
        <w:t xml:space="preserve"> </w:t>
      </w:r>
      <w:r w:rsidR="000A73D1" w:rsidRPr="00A46F94">
        <w:t>IRS tax data is unavailable</w:t>
      </w:r>
      <w:r w:rsidR="00DF57E1">
        <w:rPr>
          <w:rStyle w:val="FootnoteReference"/>
        </w:rPr>
        <w:footnoteReference w:id="13"/>
      </w:r>
      <w:r w:rsidR="00E25114" w:rsidRPr="00A46F94">
        <w:t xml:space="preserve"> </w:t>
      </w:r>
      <w:r w:rsidR="0055787D">
        <w:t xml:space="preserve">and  </w:t>
      </w:r>
      <w:r w:rsidR="00337384">
        <w:t xml:space="preserve">when </w:t>
      </w:r>
      <w:r w:rsidR="00E25114" w:rsidRPr="00A46F94">
        <w:t xml:space="preserve">sources say </w:t>
      </w:r>
      <w:r w:rsidR="0055787D">
        <w:t xml:space="preserve">the applicant’s </w:t>
      </w:r>
      <w:r w:rsidR="00E25114" w:rsidRPr="00A46F94">
        <w:t xml:space="preserve">income </w:t>
      </w:r>
      <w:r w:rsidR="0055787D">
        <w:t>would not qualify them for a subsidy</w:t>
      </w:r>
      <w:r w:rsidR="00136336">
        <w:t>.</w:t>
      </w:r>
      <w:r w:rsidR="007E7E73">
        <w:rPr>
          <w:rStyle w:val="FootnoteReference"/>
        </w:rPr>
        <w:footnoteReference w:id="14"/>
      </w:r>
      <w:r w:rsidR="00E25114" w:rsidRPr="00A46F94">
        <w:t xml:space="preserve"> </w:t>
      </w:r>
      <w:r w:rsidR="00136336">
        <w:t xml:space="preserve">There are </w:t>
      </w:r>
      <w:r w:rsidR="00136336">
        <w:lastRenderedPageBreak/>
        <w:t xml:space="preserve">also proposed </w:t>
      </w:r>
      <w:r w:rsidR="00E25114" w:rsidRPr="00A46F94">
        <w:t>modifications to the Fail</w:t>
      </w:r>
      <w:r w:rsidR="00A46F94">
        <w:t>u</w:t>
      </w:r>
      <w:r w:rsidR="00E25114" w:rsidRPr="00A46F94">
        <w:t>r</w:t>
      </w:r>
      <w:r w:rsidR="00A46F94">
        <w:t>e</w:t>
      </w:r>
      <w:r w:rsidR="00E25114" w:rsidRPr="00A46F94">
        <w:t xml:space="preserve"> to File and Reconcile rules</w:t>
      </w:r>
      <w:r w:rsidR="007E7E73">
        <w:rPr>
          <w:rStyle w:val="FootnoteReference"/>
        </w:rPr>
        <w:footnoteReference w:id="15"/>
      </w:r>
      <w:r w:rsidR="00E25114" w:rsidRPr="00A46F94">
        <w:t xml:space="preserve"> and provisions targeting agents and brokers.</w:t>
      </w:r>
      <w:r w:rsidR="007E7E73">
        <w:rPr>
          <w:rStyle w:val="FootnoteReference"/>
        </w:rPr>
        <w:footnoteReference w:id="16"/>
      </w:r>
      <w:r w:rsidR="0044600D" w:rsidRPr="00A46F94">
        <w:t xml:space="preserve"> CEI believes that program integrity is paramount </w:t>
      </w:r>
      <w:r w:rsidR="00337384" w:rsidRPr="00A46F94">
        <w:t>and</w:t>
      </w:r>
      <w:r w:rsidR="0044600D" w:rsidRPr="00A46F94">
        <w:t xml:space="preserve"> that improper enrollment is rampant. </w:t>
      </w:r>
      <w:r w:rsidR="00D51419" w:rsidRPr="00A46F94">
        <w:t xml:space="preserve">CEI analysis of survey data suggests that </w:t>
      </w:r>
      <w:r w:rsidR="00337384" w:rsidRPr="00A46F94">
        <w:t xml:space="preserve">millions of enrollees </w:t>
      </w:r>
      <w:r w:rsidR="00337384">
        <w:t xml:space="preserve">are </w:t>
      </w:r>
      <w:r w:rsidR="00D51419" w:rsidRPr="00A46F94">
        <w:t>improper</w:t>
      </w:r>
      <w:r w:rsidR="00337384">
        <w:t>ly</w:t>
      </w:r>
      <w:r w:rsidR="00D51419" w:rsidRPr="00A46F94">
        <w:t xml:space="preserve"> enroll</w:t>
      </w:r>
      <w:r w:rsidR="00337384">
        <w:t>ed</w:t>
      </w:r>
      <w:r w:rsidR="00D51419" w:rsidRPr="00A46F94">
        <w:t>.</w:t>
      </w:r>
      <w:r w:rsidR="004A37CA" w:rsidRPr="00A46F94">
        <w:rPr>
          <w:rStyle w:val="FootnoteReference"/>
          <w:color w:val="000000" w:themeColor="text1"/>
        </w:rPr>
        <w:footnoteReference w:id="17"/>
      </w:r>
    </w:p>
    <w:p w14:paraId="523EA20A" w14:textId="63AB51A7" w:rsidR="005A20BE" w:rsidRPr="00A46F94" w:rsidRDefault="005A20BE" w:rsidP="00A46F94">
      <w:pPr>
        <w:rPr>
          <w:rFonts w:cs="Times New Roman"/>
        </w:rPr>
      </w:pPr>
      <w:r>
        <w:t xml:space="preserve">Efforts to address this improper enrollment will benefit </w:t>
      </w:r>
      <w:r w:rsidR="00AB587D">
        <w:t xml:space="preserve">taxpayers and increase confidence </w:t>
      </w:r>
      <w:r w:rsidR="00F26766">
        <w:t>in the exchanges and government programs</w:t>
      </w:r>
      <w:r w:rsidR="00337384">
        <w:t>. They will</w:t>
      </w:r>
      <w:r w:rsidR="00F26766">
        <w:t xml:space="preserve"> also ensure that the program </w:t>
      </w:r>
      <w:r w:rsidR="00337384">
        <w:t>meets</w:t>
      </w:r>
      <w:r w:rsidR="00F26766">
        <w:t xml:space="preserve"> the needs of the people it was designed to </w:t>
      </w:r>
      <w:r w:rsidR="0088445F">
        <w:t>help. Improper enrollment distorts government programs</w:t>
      </w:r>
      <w:r w:rsidR="0051668C">
        <w:t xml:space="preserve"> and</w:t>
      </w:r>
      <w:r w:rsidR="001C561F">
        <w:t xml:space="preserve"> enriches brokers </w:t>
      </w:r>
      <w:r w:rsidR="0051668C">
        <w:t xml:space="preserve">who are taking advantage of consumers and a </w:t>
      </w:r>
      <w:r w:rsidR="00941B41">
        <w:t>program with inadequate oversight</w:t>
      </w:r>
      <w:r w:rsidR="009E022E">
        <w:t xml:space="preserve">. It also </w:t>
      </w:r>
      <w:r w:rsidR="000B30DD">
        <w:t xml:space="preserve">harms the overall economy by directing highly entrepreneurial individuals toward figuring out ways to extract </w:t>
      </w:r>
      <w:r w:rsidR="00941B41">
        <w:t>taxpayer money from the economy instead of something market-based and productive.</w:t>
      </w:r>
    </w:p>
    <w:p w14:paraId="58A9F24B" w14:textId="524091CD" w:rsidR="00442BA9" w:rsidRPr="000431C2" w:rsidRDefault="00F066E6" w:rsidP="000431C2">
      <w:pPr>
        <w:pStyle w:val="Heading1"/>
      </w:pPr>
      <w:r w:rsidRPr="000431C2">
        <w:t>Essential Health Benefits</w:t>
      </w:r>
    </w:p>
    <w:p w14:paraId="002A34A3" w14:textId="58B585F7" w:rsidR="00CC5C2A" w:rsidRPr="000431C2" w:rsidRDefault="00337384" w:rsidP="002572A2">
      <w:pPr>
        <w:rPr>
          <w:color w:val="000000" w:themeColor="text1"/>
        </w:rPr>
      </w:pPr>
      <w:r>
        <w:rPr>
          <w:color w:val="000000" w:themeColor="text1"/>
        </w:rPr>
        <w:t>Finally</w:t>
      </w:r>
      <w:r w:rsidR="00F066E6" w:rsidRPr="000431C2">
        <w:rPr>
          <w:color w:val="000000" w:themeColor="text1"/>
        </w:rPr>
        <w:t>, CMS proposes prohibit</w:t>
      </w:r>
      <w:r>
        <w:rPr>
          <w:color w:val="000000" w:themeColor="text1"/>
        </w:rPr>
        <w:t>ing</w:t>
      </w:r>
      <w:r w:rsidR="00F066E6" w:rsidRPr="000431C2">
        <w:rPr>
          <w:color w:val="000000" w:themeColor="text1"/>
        </w:rPr>
        <w:t xml:space="preserve"> states from adding dental services as an essential health benefit.</w:t>
      </w:r>
      <w:r w:rsidR="00C814D5">
        <w:rPr>
          <w:rStyle w:val="FootnoteReference"/>
          <w:color w:val="000000" w:themeColor="text1"/>
        </w:rPr>
        <w:footnoteReference w:id="18"/>
      </w:r>
      <w:r w:rsidR="00F066E6" w:rsidRPr="000431C2">
        <w:rPr>
          <w:color w:val="000000" w:themeColor="text1"/>
        </w:rPr>
        <w:t xml:space="preserve"> Many of the comments focus on this one change arguing that dental benefits are useful to </w:t>
      </w:r>
      <w:r w:rsidR="00C169FF" w:rsidRPr="000431C2">
        <w:rPr>
          <w:color w:val="000000" w:themeColor="text1"/>
        </w:rPr>
        <w:t>enrollees. Of course, all benefits</w:t>
      </w:r>
      <w:r w:rsidR="00254FE9">
        <w:rPr>
          <w:color w:val="000000" w:themeColor="text1"/>
        </w:rPr>
        <w:t xml:space="preserve"> can be valuable</w:t>
      </w:r>
      <w:r w:rsidR="00C169FF" w:rsidRPr="000431C2">
        <w:rPr>
          <w:color w:val="000000" w:themeColor="text1"/>
        </w:rPr>
        <w:t xml:space="preserve"> to enrollees, but that is not the issue </w:t>
      </w:r>
      <w:r w:rsidR="00A56FD3" w:rsidRPr="000431C2">
        <w:rPr>
          <w:color w:val="000000" w:themeColor="text1"/>
        </w:rPr>
        <w:t>in question.</w:t>
      </w:r>
      <w:r w:rsidR="00DB3FE4" w:rsidRPr="000431C2">
        <w:rPr>
          <w:color w:val="000000" w:themeColor="text1"/>
        </w:rPr>
        <w:t xml:space="preserve"> CEI supports this </w:t>
      </w:r>
      <w:r w:rsidR="00866516" w:rsidRPr="000431C2">
        <w:rPr>
          <w:color w:val="000000" w:themeColor="text1"/>
        </w:rPr>
        <w:t xml:space="preserve">provision due to the adverse consequences of allowing states to </w:t>
      </w:r>
      <w:r w:rsidR="00F736E1" w:rsidRPr="000431C2">
        <w:rPr>
          <w:color w:val="000000" w:themeColor="text1"/>
        </w:rPr>
        <w:t xml:space="preserve">impose costs on taxpayers in other states. </w:t>
      </w:r>
      <w:r w:rsidR="00254FE9">
        <w:rPr>
          <w:color w:val="000000" w:themeColor="text1"/>
        </w:rPr>
        <w:t>Optional and state-specific p</w:t>
      </w:r>
      <w:r w:rsidR="00EE431A" w:rsidRPr="000431C2">
        <w:rPr>
          <w:color w:val="000000" w:themeColor="text1"/>
        </w:rPr>
        <w:t>rograms and benefits should be funded only by the state</w:t>
      </w:r>
      <w:r w:rsidR="00927700" w:rsidRPr="000431C2">
        <w:rPr>
          <w:color w:val="000000" w:themeColor="text1"/>
        </w:rPr>
        <w:t xml:space="preserve">. I have written previously </w:t>
      </w:r>
      <w:r w:rsidRPr="000431C2">
        <w:rPr>
          <w:color w:val="000000" w:themeColor="text1"/>
        </w:rPr>
        <w:t>about</w:t>
      </w:r>
      <w:r w:rsidR="00927700" w:rsidRPr="000431C2">
        <w:rPr>
          <w:color w:val="000000" w:themeColor="text1"/>
        </w:rPr>
        <w:t xml:space="preserve"> the consequences of allowing states latitude to manipulate federal law and </w:t>
      </w:r>
      <w:r w:rsidR="00865D11" w:rsidRPr="000431C2">
        <w:rPr>
          <w:color w:val="000000" w:themeColor="text1"/>
        </w:rPr>
        <w:t>draw federal tax dollars to single states</w:t>
      </w:r>
      <w:r w:rsidR="002D37F5" w:rsidRPr="000431C2">
        <w:rPr>
          <w:color w:val="000000" w:themeColor="text1"/>
        </w:rPr>
        <w:t xml:space="preserve"> with regard to provider taxes</w:t>
      </w:r>
      <w:r w:rsidR="00865D11" w:rsidRPr="000431C2">
        <w:rPr>
          <w:color w:val="000000" w:themeColor="text1"/>
        </w:rPr>
        <w:t xml:space="preserve">. This structure creates incentives for all states to drive up </w:t>
      </w:r>
      <w:r w:rsidR="001416A1" w:rsidRPr="000431C2">
        <w:rPr>
          <w:color w:val="000000" w:themeColor="text1"/>
        </w:rPr>
        <w:t xml:space="preserve">costs with no oversight or participation by the taxpayers who are subsidizing the decisions. </w:t>
      </w:r>
    </w:p>
    <w:p w14:paraId="6CFD077F" w14:textId="4B2B6186" w:rsidR="00983EA4" w:rsidRPr="000431C2" w:rsidRDefault="002D37F5" w:rsidP="00EE3BC1">
      <w:pPr>
        <w:rPr>
          <w:color w:val="000000" w:themeColor="text1"/>
        </w:rPr>
      </w:pPr>
      <w:r w:rsidRPr="000431C2">
        <w:rPr>
          <w:color w:val="000000" w:themeColor="text1"/>
        </w:rPr>
        <w:t xml:space="preserve">Mandating dental benefits be included in </w:t>
      </w:r>
      <w:r w:rsidR="00CC5C2A" w:rsidRPr="000431C2">
        <w:rPr>
          <w:color w:val="000000" w:themeColor="text1"/>
        </w:rPr>
        <w:t xml:space="preserve">ACA plans </w:t>
      </w:r>
      <w:r w:rsidR="00B83E76" w:rsidRPr="000431C2">
        <w:rPr>
          <w:color w:val="000000" w:themeColor="text1"/>
        </w:rPr>
        <w:t>produces a similar dilemma</w:t>
      </w:r>
      <w:r w:rsidR="006C63BB" w:rsidRPr="000431C2">
        <w:rPr>
          <w:color w:val="000000" w:themeColor="text1"/>
        </w:rPr>
        <w:t xml:space="preserve">. By including an extra benefit, it increases total plan costs, which increases premiums, and therefore federal subsidies, even though other states may not </w:t>
      </w:r>
      <w:r w:rsidR="00A846CE" w:rsidRPr="000431C2">
        <w:rPr>
          <w:color w:val="000000" w:themeColor="text1"/>
        </w:rPr>
        <w:t>be providing that benefit. It effectively</w:t>
      </w:r>
      <w:r w:rsidR="00254FE9">
        <w:rPr>
          <w:color w:val="000000" w:themeColor="text1"/>
        </w:rPr>
        <w:t xml:space="preserve"> pressures </w:t>
      </w:r>
      <w:r w:rsidR="00A846CE" w:rsidRPr="000431C2">
        <w:rPr>
          <w:color w:val="000000" w:themeColor="text1"/>
        </w:rPr>
        <w:t xml:space="preserve">other states to </w:t>
      </w:r>
      <w:r w:rsidR="00254FE9">
        <w:rPr>
          <w:color w:val="000000" w:themeColor="text1"/>
        </w:rPr>
        <w:t>adopt the same benefit</w:t>
      </w:r>
      <w:r w:rsidR="00A846CE" w:rsidRPr="000431C2">
        <w:rPr>
          <w:color w:val="000000" w:themeColor="text1"/>
        </w:rPr>
        <w:t>, since they are already paying some of the cost for other states and their own costs would be subsidized</w:t>
      </w:r>
      <w:r w:rsidR="00EE3BC1" w:rsidRPr="000431C2">
        <w:rPr>
          <w:color w:val="000000" w:themeColor="text1"/>
        </w:rPr>
        <w:t>.</w:t>
      </w:r>
      <w:r w:rsidR="00CC5C2A" w:rsidRPr="000431C2">
        <w:rPr>
          <w:color w:val="000000" w:themeColor="text1"/>
        </w:rPr>
        <w:t xml:space="preserve"> </w:t>
      </w:r>
    </w:p>
    <w:p w14:paraId="2B8FF1C5" w14:textId="505C5E1B" w:rsidR="002572A2" w:rsidRPr="00D173F2" w:rsidRDefault="002572A2" w:rsidP="00D173F2">
      <w:pPr>
        <w:spacing w:before="0" w:after="0"/>
        <w:ind w:firstLine="0"/>
        <w:rPr>
          <w:rFonts w:cs="Times New Roman"/>
          <w:color w:val="000000" w:themeColor="text1"/>
        </w:rPr>
      </w:pPr>
      <w:r w:rsidRPr="00D173F2">
        <w:rPr>
          <w:rFonts w:cs="Times New Roman"/>
          <w:color w:val="000000" w:themeColor="text1"/>
        </w:rPr>
        <w:t>Sincerely,</w:t>
      </w:r>
    </w:p>
    <w:p w14:paraId="4C3ACA2A" w14:textId="77777777" w:rsidR="002572A2" w:rsidRDefault="002572A2" w:rsidP="00D173F2">
      <w:pPr>
        <w:spacing w:before="0" w:after="0"/>
        <w:ind w:firstLine="0"/>
        <w:rPr>
          <w:rFonts w:cs="Times New Roman"/>
          <w:color w:val="000000" w:themeColor="text1"/>
        </w:rPr>
      </w:pPr>
    </w:p>
    <w:p w14:paraId="3F086C0F" w14:textId="77777777" w:rsidR="00504741" w:rsidRDefault="00504741" w:rsidP="00D173F2">
      <w:pPr>
        <w:spacing w:before="0" w:after="0"/>
        <w:ind w:firstLine="0"/>
        <w:rPr>
          <w:rFonts w:cs="Times New Roman"/>
          <w:color w:val="000000" w:themeColor="text1"/>
        </w:rPr>
      </w:pPr>
    </w:p>
    <w:p w14:paraId="77E79AF0" w14:textId="77777777" w:rsidR="00504741" w:rsidRDefault="00504741" w:rsidP="00D173F2">
      <w:pPr>
        <w:spacing w:before="0" w:after="0"/>
        <w:ind w:firstLine="0"/>
        <w:rPr>
          <w:rFonts w:cs="Times New Roman"/>
          <w:color w:val="000000" w:themeColor="text1"/>
        </w:rPr>
      </w:pPr>
    </w:p>
    <w:p w14:paraId="473C1D1C" w14:textId="77777777" w:rsidR="00504741" w:rsidRPr="00D173F2" w:rsidRDefault="00504741" w:rsidP="00D173F2">
      <w:pPr>
        <w:spacing w:before="0" w:after="0"/>
        <w:ind w:firstLine="0"/>
        <w:rPr>
          <w:rFonts w:cs="Times New Roman"/>
          <w:color w:val="000000" w:themeColor="text1"/>
        </w:rPr>
      </w:pPr>
    </w:p>
    <w:p w14:paraId="066A7E8F" w14:textId="4D1C5193" w:rsidR="002572A2" w:rsidRDefault="002C18E6" w:rsidP="00D173F2">
      <w:pPr>
        <w:pStyle w:val="Default"/>
        <w:rPr>
          <w:rFonts w:ascii="Garamond" w:hAnsi="Garamond"/>
          <w:color w:val="000000" w:themeColor="text1"/>
          <w:sz w:val="22"/>
          <w:szCs w:val="22"/>
        </w:rPr>
      </w:pPr>
      <w:r w:rsidRPr="00D173F2">
        <w:rPr>
          <w:rFonts w:ascii="Garamond" w:hAnsi="Garamond"/>
          <w:color w:val="000000" w:themeColor="text1"/>
          <w:sz w:val="22"/>
          <w:szCs w:val="22"/>
        </w:rPr>
        <w:t>Jeremy Nighohossian</w:t>
      </w:r>
      <w:r w:rsidR="003773C3" w:rsidRPr="00D173F2">
        <w:rPr>
          <w:rFonts w:ascii="Garamond" w:hAnsi="Garamond"/>
          <w:color w:val="000000" w:themeColor="text1"/>
          <w:sz w:val="22"/>
          <w:szCs w:val="22"/>
        </w:rPr>
        <w:t>, Ph.D.</w:t>
      </w:r>
    </w:p>
    <w:p w14:paraId="4ACCF739" w14:textId="65C6BC34" w:rsidR="00361ACB" w:rsidRDefault="00361ACB" w:rsidP="00D173F2">
      <w:pPr>
        <w:pStyle w:val="Default"/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Senior Fellow and Economist</w:t>
      </w:r>
    </w:p>
    <w:p w14:paraId="62E4DD1D" w14:textId="7B3C8D46" w:rsidR="00927033" w:rsidRPr="00927033" w:rsidRDefault="00927033" w:rsidP="00D173F2">
      <w:pPr>
        <w:pStyle w:val="Default"/>
        <w:rPr>
          <w:rFonts w:ascii="Garamond" w:hAnsi="Garamond"/>
          <w:i/>
          <w:iCs/>
          <w:color w:val="000000" w:themeColor="text1"/>
          <w:sz w:val="22"/>
          <w:szCs w:val="22"/>
        </w:rPr>
      </w:pPr>
      <w:r w:rsidRPr="00927033">
        <w:rPr>
          <w:rFonts w:ascii="Garamond" w:hAnsi="Garamond"/>
          <w:i/>
          <w:iCs/>
          <w:color w:val="000000" w:themeColor="text1"/>
          <w:sz w:val="22"/>
          <w:szCs w:val="22"/>
        </w:rPr>
        <w:t>On Behalf of the Competitive Enterprise Institute</w:t>
      </w:r>
    </w:p>
    <w:p w14:paraId="77A597D0" w14:textId="77777777" w:rsidR="002572A2" w:rsidRPr="00D173F2" w:rsidRDefault="002572A2" w:rsidP="00D173F2">
      <w:pPr>
        <w:pStyle w:val="Default"/>
        <w:rPr>
          <w:rFonts w:ascii="Garamond" w:hAnsi="Garamond"/>
          <w:color w:val="000000" w:themeColor="text1"/>
          <w:sz w:val="22"/>
          <w:szCs w:val="22"/>
        </w:rPr>
      </w:pPr>
      <w:r w:rsidRPr="00D173F2">
        <w:rPr>
          <w:rFonts w:ascii="Garamond" w:hAnsi="Garamond"/>
          <w:color w:val="000000" w:themeColor="text1"/>
          <w:sz w:val="22"/>
          <w:szCs w:val="22"/>
        </w:rPr>
        <w:t xml:space="preserve">1310 L Street NW, 7th Floor </w:t>
      </w:r>
    </w:p>
    <w:p w14:paraId="26BDF815" w14:textId="77777777" w:rsidR="002572A2" w:rsidRPr="00D173F2" w:rsidRDefault="002572A2" w:rsidP="00D173F2">
      <w:pPr>
        <w:pStyle w:val="Default"/>
        <w:rPr>
          <w:rFonts w:ascii="Garamond" w:hAnsi="Garamond"/>
          <w:color w:val="000000" w:themeColor="text1"/>
          <w:sz w:val="22"/>
          <w:szCs w:val="22"/>
        </w:rPr>
      </w:pPr>
      <w:r w:rsidRPr="00D173F2">
        <w:rPr>
          <w:rFonts w:ascii="Garamond" w:hAnsi="Garamond"/>
          <w:color w:val="000000" w:themeColor="text1"/>
          <w:sz w:val="22"/>
          <w:szCs w:val="22"/>
        </w:rPr>
        <w:lastRenderedPageBreak/>
        <w:t xml:space="preserve">Washington, DC 20005 </w:t>
      </w:r>
    </w:p>
    <w:p w14:paraId="5A8C2FE6" w14:textId="473284BA" w:rsidR="005A5A5D" w:rsidRPr="00927033" w:rsidRDefault="002572A2" w:rsidP="00927033">
      <w:pPr>
        <w:spacing w:before="0" w:after="0"/>
        <w:ind w:firstLine="0"/>
        <w:rPr>
          <w:rFonts w:cs="Times New Roman"/>
          <w:color w:val="000000" w:themeColor="text1"/>
        </w:rPr>
      </w:pPr>
      <w:r w:rsidRPr="00D173F2">
        <w:rPr>
          <w:rFonts w:cs="Times New Roman"/>
          <w:color w:val="000000" w:themeColor="text1"/>
        </w:rPr>
        <w:t>(202) 331-1010</w:t>
      </w:r>
    </w:p>
    <w:p w14:paraId="7E5C5E10" w14:textId="77777777" w:rsidR="00666943" w:rsidRPr="00EC5E6A" w:rsidRDefault="00666943" w:rsidP="00B84E56">
      <w:pPr>
        <w:rPr>
          <w:rFonts w:cs="Times New Roman"/>
        </w:rPr>
      </w:pPr>
    </w:p>
    <w:sectPr w:rsidR="00666943" w:rsidRPr="00EC5E6A" w:rsidSect="006456B9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939A" w14:textId="77777777" w:rsidR="00EC4F06" w:rsidRDefault="00EC4F06" w:rsidP="0001316C">
      <w:r>
        <w:separator/>
      </w:r>
    </w:p>
  </w:endnote>
  <w:endnote w:type="continuationSeparator" w:id="0">
    <w:p w14:paraId="114F6730" w14:textId="77777777" w:rsidR="00EC4F06" w:rsidRDefault="00EC4F06" w:rsidP="0001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2515" w14:textId="0CE7D6E7" w:rsidR="00797800" w:rsidRDefault="00D147AF" w:rsidP="00D147AF">
    <w:pPr>
      <w:pStyle w:val="BodyText"/>
      <w:ind w:firstLine="0"/>
      <w:jc w:val="center"/>
      <w:rPr>
        <w:sz w:val="20"/>
      </w:rPr>
    </w:pPr>
    <w:r w:rsidRPr="00D147AF">
      <w:rPr>
        <w:sz w:val="20"/>
      </w:rPr>
      <w:fldChar w:fldCharType="begin"/>
    </w:r>
    <w:r w:rsidRPr="00D147AF">
      <w:rPr>
        <w:sz w:val="20"/>
      </w:rPr>
      <w:instrText xml:space="preserve"> PAGE   \* MERGEFORMAT </w:instrText>
    </w:r>
    <w:r w:rsidRPr="00D147AF">
      <w:rPr>
        <w:sz w:val="20"/>
      </w:rPr>
      <w:fldChar w:fldCharType="separate"/>
    </w:r>
    <w:r w:rsidRPr="00D147AF">
      <w:rPr>
        <w:noProof/>
        <w:sz w:val="20"/>
      </w:rPr>
      <w:t>1</w:t>
    </w:r>
    <w:r w:rsidRPr="00D147AF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897B8" w14:textId="77777777" w:rsidR="002572A2" w:rsidRDefault="002572A2" w:rsidP="002572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8CDF" w14:textId="77777777" w:rsidR="00EC4F06" w:rsidRDefault="00EC4F06" w:rsidP="0001316C">
      <w:r>
        <w:separator/>
      </w:r>
    </w:p>
  </w:footnote>
  <w:footnote w:type="continuationSeparator" w:id="0">
    <w:p w14:paraId="1EFB4775" w14:textId="77777777" w:rsidR="00EC4F06" w:rsidRDefault="00EC4F06" w:rsidP="0001316C">
      <w:r>
        <w:continuationSeparator/>
      </w:r>
    </w:p>
  </w:footnote>
  <w:footnote w:id="1">
    <w:p w14:paraId="29084A65" w14:textId="6E340850" w:rsidR="00C120CA" w:rsidRPr="004571DC" w:rsidRDefault="00C120CA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</w:t>
      </w:r>
      <w:r w:rsidR="003C7476" w:rsidRPr="004571DC">
        <w:t xml:space="preserve">Patient Protection and Affordable Care Act; HHS Notice of Benefit and Payment Parameters for 2027 and Basic Health Program; Marketplace Integrity and Affordability, Proposed Rule, RIN 0938-AV62, </w:t>
      </w:r>
      <w:r w:rsidR="00334E9A" w:rsidRPr="00675EA3">
        <w:t>Section III.E.8 &amp; Section III.E.9</w:t>
      </w:r>
      <w:r w:rsidR="003C7476" w:rsidRPr="004571DC">
        <w:rPr>
          <w:rFonts w:cs="Times New Roman"/>
        </w:rPr>
        <w:t>,</w:t>
      </w:r>
      <w:r w:rsidR="003C7476" w:rsidRPr="004571DC">
        <w:t xml:space="preserve"> February 11, 2026.</w:t>
      </w:r>
    </w:p>
  </w:footnote>
  <w:footnote w:id="2">
    <w:p w14:paraId="6750D560" w14:textId="51E40290" w:rsidR="00334E9A" w:rsidRPr="004571DC" w:rsidRDefault="00334E9A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Patient Protection and Affordable Care Act; HHS Notice of Benefit and Payment Parameters for 2027 and Basic Health Program; Marketplace Integrity and Affordability, Proposed Rule, RIN 0938-AV62, </w:t>
      </w:r>
      <w:r w:rsidRPr="004571DC">
        <w:rPr>
          <w:color w:val="000000" w:themeColor="text1"/>
        </w:rPr>
        <w:t>§</w:t>
      </w:r>
      <w:r w:rsidRPr="00675EA3">
        <w:t>156.236</w:t>
      </w:r>
      <w:r w:rsidRPr="004571DC">
        <w:rPr>
          <w:rFonts w:cs="Times New Roman"/>
        </w:rPr>
        <w:t>,</w:t>
      </w:r>
      <w:r w:rsidRPr="004571DC">
        <w:t xml:space="preserve"> February 11, 2026.</w:t>
      </w:r>
    </w:p>
  </w:footnote>
  <w:footnote w:id="3">
    <w:p w14:paraId="6C127700" w14:textId="336C6E6E" w:rsidR="00C120CA" w:rsidRPr="004571DC" w:rsidRDefault="00C120CA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</w:t>
      </w:r>
      <w:r w:rsidR="003C7476" w:rsidRPr="004571DC">
        <w:t xml:space="preserve">Patient Protection and Affordable Care Act; HHS Notice of Benefit and Payment Parameters for 2027 and Basic Health Program; Marketplace Integrity and Affordability, Proposed Rule, RIN 0938-AV62, </w:t>
      </w:r>
      <w:r w:rsidR="003C7476" w:rsidRPr="004571DC">
        <w:rPr>
          <w:color w:val="000000" w:themeColor="text1"/>
        </w:rPr>
        <w:t>§</w:t>
      </w:r>
      <w:r w:rsidR="00334E9A" w:rsidRPr="004571DC">
        <w:t>156.155(a)(6)</w:t>
      </w:r>
      <w:r w:rsidR="003C7476" w:rsidRPr="004571DC">
        <w:rPr>
          <w:rFonts w:cs="Times New Roman"/>
        </w:rPr>
        <w:t>,</w:t>
      </w:r>
      <w:r w:rsidR="003C7476" w:rsidRPr="004571DC">
        <w:t xml:space="preserve"> February 11, 2026.</w:t>
      </w:r>
    </w:p>
  </w:footnote>
  <w:footnote w:id="4">
    <w:p w14:paraId="040EC4F5" w14:textId="1B5AFF03" w:rsidR="00C120CA" w:rsidRPr="004571DC" w:rsidRDefault="00C120CA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</w:t>
      </w:r>
      <w:r w:rsidR="003C7476" w:rsidRPr="004571DC">
        <w:t xml:space="preserve">Patient Protection and Affordable Care Act; HHS Notice of Benefit and Payment Parameters for 2027 and Basic Health Program; Marketplace Integrity and Affordability, Proposed Rule, RIN 0938-AV62, </w:t>
      </w:r>
      <w:r w:rsidR="003C7476" w:rsidRPr="004571DC">
        <w:rPr>
          <w:color w:val="000000" w:themeColor="text1"/>
        </w:rPr>
        <w:t>§</w:t>
      </w:r>
      <w:r w:rsidR="00334E9A" w:rsidRPr="00675EA3">
        <w:t>155.221(k) and § 155.105(b)(4)</w:t>
      </w:r>
      <w:r w:rsidR="003C7476" w:rsidRPr="004571DC">
        <w:rPr>
          <w:rFonts w:cs="Times New Roman"/>
        </w:rPr>
        <w:t>,</w:t>
      </w:r>
      <w:r w:rsidR="003C7476" w:rsidRPr="004571DC">
        <w:t xml:space="preserve"> February 11, 2026.</w:t>
      </w:r>
    </w:p>
  </w:footnote>
  <w:footnote w:id="5">
    <w:p w14:paraId="44EBBC35" w14:textId="3C4470C0" w:rsidR="00C120CA" w:rsidRPr="004571DC" w:rsidRDefault="00C120CA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</w:t>
      </w:r>
      <w:r w:rsidR="003C7476" w:rsidRPr="004571DC">
        <w:t xml:space="preserve">Patient Protection and Affordable Care Act; HHS Notice of Benefit and Payment Parameters for 2027 and Basic Health Program; Marketplace Integrity and Affordability, Proposed Rule, RIN 0938-AV62, </w:t>
      </w:r>
      <w:r w:rsidR="003C7476" w:rsidRPr="004571DC">
        <w:rPr>
          <w:color w:val="000000" w:themeColor="text1"/>
        </w:rPr>
        <w:t>§</w:t>
      </w:r>
      <w:r w:rsidR="003C7476" w:rsidRPr="004571DC">
        <w:t>156.155(a)(6)</w:t>
      </w:r>
      <w:r w:rsidR="003C7476" w:rsidRPr="004571DC">
        <w:rPr>
          <w:rFonts w:cs="Times New Roman"/>
        </w:rPr>
        <w:t>,</w:t>
      </w:r>
      <w:r w:rsidR="003C7476" w:rsidRPr="004571DC">
        <w:t xml:space="preserve"> February 11, 2026.</w:t>
      </w:r>
    </w:p>
  </w:footnote>
  <w:footnote w:id="6">
    <w:p w14:paraId="103ABA0C" w14:textId="35AA3AFD" w:rsidR="00716FA2" w:rsidRPr="004571DC" w:rsidRDefault="00716FA2" w:rsidP="00A46F94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</w:t>
      </w:r>
      <w:r w:rsidR="00AB7375" w:rsidRPr="004571DC">
        <w:t>Soheil Ghili</w:t>
      </w:r>
      <w:r w:rsidR="00563068" w:rsidRPr="004571DC">
        <w:t xml:space="preserve"> et al.,</w:t>
      </w:r>
      <w:r w:rsidR="00AB7375" w:rsidRPr="004571DC">
        <w:t xml:space="preserve"> </w:t>
      </w:r>
      <w:r w:rsidR="006717BC" w:rsidRPr="004571DC">
        <w:t>“</w:t>
      </w:r>
      <w:r w:rsidR="00AB7375" w:rsidRPr="004571DC">
        <w:t>The Welfare Effects of Long-Term Health Insurance Contracts,</w:t>
      </w:r>
      <w:r w:rsidR="00563068" w:rsidRPr="004571DC">
        <w:t>”</w:t>
      </w:r>
      <w:r w:rsidR="00AB7375" w:rsidRPr="004571DC">
        <w:t> Cowles Foundation Discussion Papers 2218, Cowles Foundation for Research in Economics, Yale University</w:t>
      </w:r>
      <w:r w:rsidR="00042424" w:rsidRPr="004571DC">
        <w:t xml:space="preserve"> (2019), </w:t>
      </w:r>
      <w:r w:rsidRPr="004571DC">
        <w:t>https://ideas.repec.org/p/cwl/cwldpp/2218.html</w:t>
      </w:r>
      <w:r w:rsidR="00D071A5" w:rsidRPr="004571DC">
        <w:t>.</w:t>
      </w:r>
    </w:p>
  </w:footnote>
  <w:footnote w:id="7">
    <w:p w14:paraId="001F87E3" w14:textId="39684F45" w:rsidR="002F1CFA" w:rsidRDefault="002F1CFA" w:rsidP="00A46F94">
      <w:pPr>
        <w:pStyle w:val="FootnoteText"/>
      </w:pPr>
      <w:r w:rsidRPr="004571DC">
        <w:rPr>
          <w:rStyle w:val="FootnoteReference"/>
        </w:rPr>
        <w:footnoteRef/>
      </w:r>
      <w:r w:rsidRPr="004571DC">
        <w:t xml:space="preserve"> Juan Pablo Atal</w:t>
      </w:r>
      <w:r w:rsidR="00563068" w:rsidRPr="004571DC">
        <w:t xml:space="preserve"> et al.</w:t>
      </w:r>
      <w:r w:rsidRPr="004571DC">
        <w:t xml:space="preserve">, “German Long-Term Health Insurance: Theory Meets Evidence,” </w:t>
      </w:r>
      <w:r w:rsidRPr="004571DC">
        <w:rPr>
          <w:i/>
          <w:iCs/>
        </w:rPr>
        <w:t>Journal of Political Economy</w:t>
      </w:r>
      <w:r w:rsidR="000F3C1F" w:rsidRPr="004571DC">
        <w:t>,</w:t>
      </w:r>
      <w:r w:rsidR="00A244A4" w:rsidRPr="004571DC">
        <w:t xml:space="preserve"> Vol. 133</w:t>
      </w:r>
      <w:r w:rsidR="002E58A4" w:rsidRPr="004571DC">
        <w:t>, No. 6 (</w:t>
      </w:r>
      <w:r w:rsidRPr="004571DC">
        <w:t>2025</w:t>
      </w:r>
      <w:r w:rsidR="002E58A4" w:rsidRPr="004571DC">
        <w:t>)</w:t>
      </w:r>
      <w:r w:rsidRPr="004571DC">
        <w:t>, </w:t>
      </w:r>
      <w:r w:rsidR="002E58A4" w:rsidRPr="004571DC">
        <w:t xml:space="preserve">pp. </w:t>
      </w:r>
      <w:r w:rsidRPr="004571DC">
        <w:t>1840-1885.</w:t>
      </w:r>
    </w:p>
  </w:footnote>
  <w:footnote w:id="8">
    <w:p w14:paraId="3E7219A8" w14:textId="5B7E805E" w:rsidR="00A6240A" w:rsidRDefault="00A6240A" w:rsidP="00A46F94">
      <w:pPr>
        <w:pStyle w:val="FootnoteText"/>
      </w:pPr>
      <w:r>
        <w:rPr>
          <w:rStyle w:val="FootnoteReference"/>
        </w:rPr>
        <w:footnoteRef/>
      </w:r>
      <w:r>
        <w:t xml:space="preserve"> Vip </w:t>
      </w:r>
      <w:r w:rsidRPr="00130F53">
        <w:t>Patel and Mark Pauly</w:t>
      </w:r>
      <w:r w:rsidR="00CB27C4">
        <w:t>,</w:t>
      </w:r>
      <w:r w:rsidRPr="00130F53">
        <w:t xml:space="preserve"> “Guaranteed </w:t>
      </w:r>
      <w:r w:rsidR="007D6251">
        <w:t>R</w:t>
      </w:r>
      <w:r w:rsidRPr="00130F53">
        <w:t>enewability and the</w:t>
      </w:r>
      <w:r w:rsidR="007D6251">
        <w:t xml:space="preserve"> P</w:t>
      </w:r>
      <w:r w:rsidRPr="00130F53">
        <w:t xml:space="preserve">roblem of </w:t>
      </w:r>
      <w:r w:rsidR="007D6251">
        <w:t>R</w:t>
      </w:r>
      <w:r w:rsidRPr="00130F53">
        <w:t xml:space="preserve">isk </w:t>
      </w:r>
      <w:r w:rsidR="007D6251">
        <w:t>V</w:t>
      </w:r>
      <w:r w:rsidRPr="00130F53">
        <w:t xml:space="preserve">ariation in </w:t>
      </w:r>
      <w:r w:rsidR="007D6251">
        <w:t>I</w:t>
      </w:r>
      <w:r w:rsidRPr="00130F53">
        <w:t xml:space="preserve">ndividual </w:t>
      </w:r>
      <w:r w:rsidR="007D6251">
        <w:t>H</w:t>
      </w:r>
      <w:r w:rsidRPr="00130F53">
        <w:t xml:space="preserve">ealth </w:t>
      </w:r>
      <w:r w:rsidR="007D6251">
        <w:t>I</w:t>
      </w:r>
      <w:r w:rsidRPr="00130F53">
        <w:t xml:space="preserve">nsurance </w:t>
      </w:r>
      <w:r w:rsidR="007D6251">
        <w:t>M</w:t>
      </w:r>
      <w:r w:rsidRPr="00130F53">
        <w:t>arkets</w:t>
      </w:r>
      <w:r w:rsidR="006124D5">
        <w:t>,</w:t>
      </w:r>
      <w:r w:rsidRPr="00130F53">
        <w:t>” </w:t>
      </w:r>
      <w:r w:rsidRPr="00130F53">
        <w:rPr>
          <w:i/>
          <w:iCs/>
        </w:rPr>
        <w:t xml:space="preserve">Health </w:t>
      </w:r>
      <w:r w:rsidR="00563068">
        <w:rPr>
          <w:i/>
          <w:iCs/>
        </w:rPr>
        <w:t>A</w:t>
      </w:r>
      <w:r w:rsidRPr="00130F53">
        <w:rPr>
          <w:i/>
          <w:iCs/>
        </w:rPr>
        <w:t>ffairs (Project Hope)</w:t>
      </w:r>
      <w:r w:rsidRPr="00130F53">
        <w:t> Suppl Web Exclusives (2002)</w:t>
      </w:r>
      <w:r w:rsidR="00732508">
        <w:t>,</w:t>
      </w:r>
      <w:r w:rsidRPr="00130F53">
        <w:t xml:space="preserve"> W280-9</w:t>
      </w:r>
      <w:r w:rsidR="00732508">
        <w:t>,</w:t>
      </w:r>
      <w:r w:rsidRPr="00130F53">
        <w:t xml:space="preserve"> doi:10.1377/hlthaff.w2.280</w:t>
      </w:r>
      <w:r>
        <w:t>.</w:t>
      </w:r>
    </w:p>
  </w:footnote>
  <w:footnote w:id="9">
    <w:p w14:paraId="0F7CCC79" w14:textId="3FAAFA18" w:rsidR="00563CB1" w:rsidRDefault="00563CB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496">
        <w:t>Patient Protection and Affordable Care Act; HHS Notice of Benefit and Payment Parameters for 2027 and Basic Health Program; Marketplace Integrity and Affordability, Proposed Rule, RIN 0938-A</w:t>
      </w:r>
      <w:r>
        <w:t>V</w:t>
      </w:r>
      <w:r w:rsidRPr="00013496">
        <w:t>6</w:t>
      </w:r>
      <w:r>
        <w:t>2</w:t>
      </w:r>
      <w:r w:rsidRPr="00013496">
        <w:t xml:space="preserve">, </w:t>
      </w:r>
      <w:r w:rsidRPr="00933154">
        <w:rPr>
          <w:color w:val="000000" w:themeColor="text1"/>
        </w:rPr>
        <w:t>§156.236</w:t>
      </w:r>
      <w:r>
        <w:rPr>
          <w:rFonts w:cs="Times New Roman"/>
        </w:rPr>
        <w:t>,</w:t>
      </w:r>
      <w:r w:rsidRPr="00013496">
        <w:t xml:space="preserve"> Feb</w:t>
      </w:r>
      <w:r>
        <w:t>ruary</w:t>
      </w:r>
      <w:r w:rsidRPr="00013496">
        <w:t xml:space="preserve"> 11, 2026.</w:t>
      </w:r>
    </w:p>
  </w:footnote>
  <w:footnote w:id="10">
    <w:p w14:paraId="61F5EA7B" w14:textId="6E1FB4CF" w:rsidR="00CA6F78" w:rsidRDefault="00CA6F78" w:rsidP="00A46F9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C11F0">
        <w:t xml:space="preserve">Christopher </w:t>
      </w:r>
      <w:r w:rsidRPr="00CA6F78">
        <w:t>Whaley,</w:t>
      </w:r>
      <w:r w:rsidR="00134CF5">
        <w:t xml:space="preserve"> Chaoran Guo, and Timothy Brown,</w:t>
      </w:r>
      <w:r w:rsidRPr="00CA6F78">
        <w:t xml:space="preserve"> “The </w:t>
      </w:r>
      <w:r w:rsidR="00B4467F">
        <w:t>M</w:t>
      </w:r>
      <w:r w:rsidRPr="00CA6F78">
        <w:t xml:space="preserve">oral </w:t>
      </w:r>
      <w:r w:rsidR="00B4467F">
        <w:t>H</w:t>
      </w:r>
      <w:r w:rsidRPr="00CA6F78">
        <w:t xml:space="preserve">azard </w:t>
      </w:r>
      <w:r w:rsidR="00B4467F">
        <w:t>E</w:t>
      </w:r>
      <w:r w:rsidRPr="00CA6F78">
        <w:t xml:space="preserve">ffects of </w:t>
      </w:r>
      <w:r w:rsidR="00B4467F">
        <w:t>C</w:t>
      </w:r>
      <w:r w:rsidRPr="00CA6F78">
        <w:t xml:space="preserve">onsumer </w:t>
      </w:r>
      <w:r w:rsidR="00B4467F">
        <w:t>R</w:t>
      </w:r>
      <w:r w:rsidRPr="00CA6F78">
        <w:t xml:space="preserve">esponses to </w:t>
      </w:r>
      <w:r w:rsidR="00B4467F">
        <w:t>T</w:t>
      </w:r>
      <w:r w:rsidRPr="00CA6F78">
        <w:t xml:space="preserve">argeted </w:t>
      </w:r>
      <w:r w:rsidR="00B4467F">
        <w:t>C</w:t>
      </w:r>
      <w:r w:rsidRPr="00CA6F78">
        <w:t>ost-</w:t>
      </w:r>
      <w:r w:rsidR="00B4467F">
        <w:t>S</w:t>
      </w:r>
      <w:r w:rsidRPr="00CA6F78">
        <w:t>haring</w:t>
      </w:r>
      <w:r w:rsidR="00FC11F0">
        <w:t>,</w:t>
      </w:r>
      <w:r w:rsidRPr="00CA6F78">
        <w:t>” </w:t>
      </w:r>
      <w:r w:rsidRPr="00CA6F78">
        <w:rPr>
          <w:i/>
          <w:iCs/>
        </w:rPr>
        <w:t xml:space="preserve">Journal of </w:t>
      </w:r>
      <w:r w:rsidR="00B4467F">
        <w:rPr>
          <w:i/>
          <w:iCs/>
        </w:rPr>
        <w:t>H</w:t>
      </w:r>
      <w:r w:rsidRPr="00CA6F78">
        <w:rPr>
          <w:i/>
          <w:iCs/>
        </w:rPr>
        <w:t xml:space="preserve">ealth </w:t>
      </w:r>
      <w:r w:rsidR="00B4467F">
        <w:rPr>
          <w:i/>
          <w:iCs/>
        </w:rPr>
        <w:t>E</w:t>
      </w:r>
      <w:r w:rsidRPr="00CA6F78">
        <w:rPr>
          <w:i/>
          <w:iCs/>
        </w:rPr>
        <w:t>conomics</w:t>
      </w:r>
      <w:r w:rsidR="00DC2A83">
        <w:rPr>
          <w:i/>
          <w:iCs/>
        </w:rPr>
        <w:t>,</w:t>
      </w:r>
      <w:r w:rsidRPr="00CA6F78">
        <w:t> </w:t>
      </w:r>
      <w:r w:rsidR="00DC2A83">
        <w:t>V</w:t>
      </w:r>
      <w:r w:rsidRPr="00CA6F78">
        <w:t>ol. 56 (</w:t>
      </w:r>
      <w:r w:rsidR="00B041E7">
        <w:t xml:space="preserve">December </w:t>
      </w:r>
      <w:r w:rsidRPr="00CA6F78">
        <w:t>2017)</w:t>
      </w:r>
      <w:r w:rsidR="00DC2A83">
        <w:t xml:space="preserve">, pp. </w:t>
      </w:r>
      <w:r w:rsidRPr="00CA6F78">
        <w:t>201-221</w:t>
      </w:r>
      <w:r w:rsidR="00B041E7">
        <w:t xml:space="preserve">, </w:t>
      </w:r>
      <w:r w:rsidR="00B041E7" w:rsidRPr="00B041E7">
        <w:t>https://www.sciencedirect.com/science/article/abs/pii/S0167629616302934</w:t>
      </w:r>
      <w:r w:rsidR="00B041E7">
        <w:t>.</w:t>
      </w:r>
    </w:p>
  </w:footnote>
  <w:footnote w:id="11">
    <w:p w14:paraId="3C283D18" w14:textId="4A46EF76" w:rsidR="00E23199" w:rsidRDefault="00E23199" w:rsidP="00A46F9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C2A83" w:rsidRPr="00E23199">
        <w:t>James C. Robinson, Timothy Brown, and Christopher Whaley</w:t>
      </w:r>
      <w:r w:rsidR="00DC2A83">
        <w:t>,</w:t>
      </w:r>
      <w:r w:rsidR="00DC2A83" w:rsidRPr="00DC2A83">
        <w:t xml:space="preserve"> </w:t>
      </w:r>
      <w:r w:rsidR="00DC2A83">
        <w:t>“</w:t>
      </w:r>
      <w:r w:rsidRPr="00DC2A83">
        <w:t xml:space="preserve">Reference-Based Benefit Design Changes Consumers’ Choices </w:t>
      </w:r>
      <w:r w:rsidR="00A359BF">
        <w:t>a</w:t>
      </w:r>
      <w:r w:rsidRPr="00DC2A83">
        <w:t xml:space="preserve">nd Employers’ Payments </w:t>
      </w:r>
      <w:r w:rsidR="00A359BF">
        <w:t>f</w:t>
      </w:r>
      <w:r w:rsidRPr="00DC2A83">
        <w:t>or Ambulatory Surgery</w:t>
      </w:r>
      <w:r w:rsidR="00DC2A83">
        <w:t xml:space="preserve">,” </w:t>
      </w:r>
      <w:r w:rsidRPr="00DC2A83">
        <w:rPr>
          <w:i/>
          <w:iCs/>
        </w:rPr>
        <w:t>Health Affairs</w:t>
      </w:r>
      <w:r w:rsidR="00DC2A83" w:rsidRPr="00DC2A83">
        <w:rPr>
          <w:i/>
          <w:iCs/>
        </w:rPr>
        <w:t>,</w:t>
      </w:r>
      <w:r w:rsidR="00DC2A83">
        <w:t xml:space="preserve"> Vol. 34, No. 3 (</w:t>
      </w:r>
      <w:r w:rsidRPr="00E23199">
        <w:t>2015</w:t>
      </w:r>
      <w:r w:rsidR="00DC2A83">
        <w:t>)</w:t>
      </w:r>
      <w:r w:rsidRPr="00E23199">
        <w:t>, </w:t>
      </w:r>
      <w:r w:rsidR="00DC2A83">
        <w:t xml:space="preserve">pp. </w:t>
      </w:r>
      <w:r w:rsidRPr="00E23199">
        <w:t>415-422</w:t>
      </w:r>
      <w:r w:rsidR="00DC2A83">
        <w:t>.</w:t>
      </w:r>
    </w:p>
  </w:footnote>
  <w:footnote w:id="12">
    <w:p w14:paraId="289C55E9" w14:textId="3690180E" w:rsidR="00CE3135" w:rsidRDefault="00CE3135" w:rsidP="00A46F94">
      <w:pPr>
        <w:pStyle w:val="FootnoteText"/>
      </w:pPr>
      <w:r>
        <w:rPr>
          <w:rStyle w:val="FootnoteReference"/>
        </w:rPr>
        <w:footnoteRef/>
      </w:r>
      <w:r>
        <w:t xml:space="preserve"> Christopher M. Whaley</w:t>
      </w:r>
      <w:r w:rsidR="00DC2A83">
        <w:t xml:space="preserve"> and</w:t>
      </w:r>
      <w:r>
        <w:t xml:space="preserve"> Timothy T. Brown, “Firm </w:t>
      </w:r>
      <w:r w:rsidR="008729A7">
        <w:t>R</w:t>
      </w:r>
      <w:r>
        <w:t xml:space="preserve">esponses to </w:t>
      </w:r>
      <w:r w:rsidR="008729A7">
        <w:t>T</w:t>
      </w:r>
      <w:r>
        <w:t xml:space="preserve">argeted </w:t>
      </w:r>
      <w:r w:rsidR="008729A7">
        <w:t>C</w:t>
      </w:r>
      <w:r>
        <w:t xml:space="preserve">onsumer </w:t>
      </w:r>
      <w:r w:rsidR="008729A7">
        <w:t>I</w:t>
      </w:r>
      <w:r>
        <w:t xml:space="preserve">ncentives: Evidence from </w:t>
      </w:r>
      <w:r w:rsidR="008729A7">
        <w:t>R</w:t>
      </w:r>
      <w:r>
        <w:t xml:space="preserve">eference </w:t>
      </w:r>
      <w:r w:rsidR="008729A7">
        <w:t>P</w:t>
      </w:r>
      <w:r>
        <w:t xml:space="preserve">ricing for </w:t>
      </w:r>
      <w:r w:rsidR="008729A7">
        <w:t>S</w:t>
      </w:r>
      <w:r>
        <w:t xml:space="preserve">urgical </w:t>
      </w:r>
      <w:r w:rsidR="008729A7">
        <w:t>S</w:t>
      </w:r>
      <w:r>
        <w:t xml:space="preserve">ervices,” </w:t>
      </w:r>
      <w:r w:rsidRPr="00CE3135">
        <w:rPr>
          <w:i/>
          <w:iCs/>
        </w:rPr>
        <w:t>Journal of Health Economics</w:t>
      </w:r>
      <w:r>
        <w:t>, Vol</w:t>
      </w:r>
      <w:r w:rsidR="00DC2A83">
        <w:t xml:space="preserve">. </w:t>
      </w:r>
      <w:r>
        <w:t xml:space="preserve">61 </w:t>
      </w:r>
      <w:r w:rsidR="00DC2A83">
        <w:t>(</w:t>
      </w:r>
      <w:r>
        <w:t>2018</w:t>
      </w:r>
      <w:r w:rsidR="00DC2A83">
        <w:t>)</w:t>
      </w:r>
      <w:r>
        <w:t xml:space="preserve">, </w:t>
      </w:r>
      <w:r w:rsidR="00DC2A83">
        <w:t>pp.</w:t>
      </w:r>
      <w:r>
        <w:t xml:space="preserve"> 111-133, https://doi.org/10.1016/j.jhealeco.2018.06.012.</w:t>
      </w:r>
    </w:p>
  </w:footnote>
  <w:footnote w:id="13">
    <w:p w14:paraId="7EF5FD62" w14:textId="38A91E7F" w:rsidR="00DF57E1" w:rsidRDefault="00DF57E1" w:rsidP="000134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3496" w:rsidRPr="00013496">
        <w:t>Patient Protection and Affordable Care Act; HHS Notice of Benefit and Payment Parameters for 2027 and Basic Health Program; Marketplace Integrity and Affordability, Proposed Rule, RIN 0938-A</w:t>
      </w:r>
      <w:r w:rsidR="00162F13">
        <w:t>V</w:t>
      </w:r>
      <w:r w:rsidR="00013496" w:rsidRPr="00013496">
        <w:t>6</w:t>
      </w:r>
      <w:r w:rsidR="00162F13">
        <w:t>2</w:t>
      </w:r>
      <w:r w:rsidR="00013496" w:rsidRPr="00013496">
        <w:t xml:space="preserve">, </w:t>
      </w:r>
      <w:r w:rsidR="0001518B" w:rsidRPr="00A46F94">
        <w:rPr>
          <w:rFonts w:cs="Times New Roman"/>
        </w:rPr>
        <w:t>§155.320(c)(5)</w:t>
      </w:r>
      <w:r w:rsidR="00C9096F">
        <w:rPr>
          <w:rFonts w:cs="Times New Roman"/>
        </w:rPr>
        <w:t>,</w:t>
      </w:r>
      <w:r w:rsidR="00013496" w:rsidRPr="00013496">
        <w:t xml:space="preserve"> Feb</w:t>
      </w:r>
      <w:r w:rsidR="00C9096F">
        <w:t>ruary</w:t>
      </w:r>
      <w:r w:rsidR="00013496" w:rsidRPr="00013496">
        <w:t xml:space="preserve"> 11, 2026.</w:t>
      </w:r>
    </w:p>
  </w:footnote>
  <w:footnote w:id="14">
    <w:p w14:paraId="4FADDB9A" w14:textId="6F5215FE" w:rsidR="007E7E73" w:rsidRDefault="007E7E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496">
        <w:t>Patient Protection and Affordable Care Act; HHS Notice of Benefit and Payment Parameters for 2027 and Basic Health Program; Marketplace Integrity and Affordability, Proposed Rule, RIN 0938-A</w:t>
      </w:r>
      <w:r>
        <w:t>V</w:t>
      </w:r>
      <w:r w:rsidRPr="00013496">
        <w:t>6</w:t>
      </w:r>
      <w:r>
        <w:t>2</w:t>
      </w:r>
      <w:r w:rsidRPr="00013496">
        <w:t xml:space="preserve">, </w:t>
      </w:r>
      <w:r w:rsidRPr="00A46F94">
        <w:rPr>
          <w:rFonts w:cs="Times New Roman"/>
        </w:rPr>
        <w:t>§155.320(c)(3)(iii) and §155.320(c)(3)(vi)(C)(2)</w:t>
      </w:r>
      <w:r>
        <w:rPr>
          <w:rFonts w:cs="Times New Roman"/>
        </w:rPr>
        <w:t>,</w:t>
      </w:r>
      <w:r w:rsidRPr="00013496">
        <w:t xml:space="preserve"> Feb</w:t>
      </w:r>
      <w:r>
        <w:t>ruary</w:t>
      </w:r>
      <w:r w:rsidRPr="00013496">
        <w:t xml:space="preserve"> 11, 2026.</w:t>
      </w:r>
    </w:p>
  </w:footnote>
  <w:footnote w:id="15">
    <w:p w14:paraId="00EC12D0" w14:textId="6EE8CE63" w:rsidR="007E7E73" w:rsidRDefault="007E7E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496">
        <w:t>Patient Protection and Affordable Care Act; HHS Notice of Benefit and Payment Parameters for 2027 and Basic Health Program; Marketplace Integrity and Affordability, Proposed Rule, RIN 0938-A</w:t>
      </w:r>
      <w:r>
        <w:t>V</w:t>
      </w:r>
      <w:r w:rsidRPr="00013496">
        <w:t>6</w:t>
      </w:r>
      <w:r>
        <w:t>2</w:t>
      </w:r>
      <w:r w:rsidRPr="00013496">
        <w:t>,</w:t>
      </w:r>
      <w:r w:rsidRPr="007E7E73">
        <w:rPr>
          <w:rFonts w:cs="Times New Roman"/>
        </w:rPr>
        <w:t xml:space="preserve"> </w:t>
      </w:r>
      <w:r w:rsidRPr="00A46F94">
        <w:rPr>
          <w:rFonts w:cs="Times New Roman"/>
        </w:rPr>
        <w:t>§155.305(f)(4</w:t>
      </w:r>
      <w:r>
        <w:rPr>
          <w:rFonts w:cs="Times New Roman"/>
        </w:rPr>
        <w:t>),</w:t>
      </w:r>
      <w:r w:rsidRPr="00013496">
        <w:t xml:space="preserve"> Feb</w:t>
      </w:r>
      <w:r>
        <w:t>ruary</w:t>
      </w:r>
      <w:r w:rsidRPr="00013496">
        <w:t xml:space="preserve"> 11, 2026.</w:t>
      </w:r>
    </w:p>
  </w:footnote>
  <w:footnote w:id="16">
    <w:p w14:paraId="7FEC7725" w14:textId="7150941F" w:rsidR="007E7E73" w:rsidRDefault="007E7E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496">
        <w:t>Patient Protection and Affordable Care Act; HHS Notice of Benefit and Payment Parameters for 2027 and Basic Health Program; Marketplace Integrity and Affordability, Proposed Rule, RIN 0938-A</w:t>
      </w:r>
      <w:r>
        <w:t>V</w:t>
      </w:r>
      <w:r w:rsidRPr="00013496">
        <w:t>6</w:t>
      </w:r>
      <w:r>
        <w:t>2</w:t>
      </w:r>
      <w:r w:rsidRPr="00013496">
        <w:t>,</w:t>
      </w:r>
      <w:r w:rsidRPr="007E7E73">
        <w:rPr>
          <w:rFonts w:cs="Times New Roman"/>
        </w:rPr>
        <w:t xml:space="preserve"> </w:t>
      </w:r>
      <w:r w:rsidRPr="00A46F94">
        <w:rPr>
          <w:rFonts w:cs="Times New Roman"/>
        </w:rPr>
        <w:t>§155.220(j)(2)</w:t>
      </w:r>
      <w:r>
        <w:rPr>
          <w:rFonts w:cs="Times New Roman"/>
        </w:rPr>
        <w:t xml:space="preserve"> and</w:t>
      </w:r>
      <w:r w:rsidRPr="00A46F94">
        <w:rPr>
          <w:rFonts w:cs="Times New Roman"/>
        </w:rPr>
        <w:t xml:space="preserve"> §155.220(j)(3</w:t>
      </w:r>
      <w:r w:rsidR="008C49D1">
        <w:rPr>
          <w:rFonts w:cs="Times New Roman"/>
        </w:rPr>
        <w:t>)</w:t>
      </w:r>
      <w:r>
        <w:rPr>
          <w:rFonts w:cs="Times New Roman"/>
        </w:rPr>
        <w:t>,</w:t>
      </w:r>
      <w:r w:rsidRPr="00013496">
        <w:t xml:space="preserve"> Feb</w:t>
      </w:r>
      <w:r>
        <w:t>ruary</w:t>
      </w:r>
      <w:r w:rsidRPr="00013496">
        <w:t xml:space="preserve"> 11, 2026.</w:t>
      </w:r>
    </w:p>
  </w:footnote>
  <w:footnote w:id="17">
    <w:p w14:paraId="6D92B0F0" w14:textId="46C20A29" w:rsidR="004A37CA" w:rsidRPr="00A46F94" w:rsidRDefault="004A37CA" w:rsidP="00A46F94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>
        <w:t xml:space="preserve"> Jeremy </w:t>
      </w:r>
      <w:r w:rsidRPr="00A46F94">
        <w:t>Nighohossian, “</w:t>
      </w:r>
      <w:r w:rsidR="00A46F94" w:rsidRPr="00A46F94">
        <w:t xml:space="preserve">Obamacare’s </w:t>
      </w:r>
      <w:r w:rsidR="008729A7">
        <w:t>S</w:t>
      </w:r>
      <w:r w:rsidR="00A46F94" w:rsidRPr="00A46F94">
        <w:t xml:space="preserve">ubsidy </w:t>
      </w:r>
      <w:r w:rsidR="008729A7">
        <w:t>C</w:t>
      </w:r>
      <w:r w:rsidR="00A46F94" w:rsidRPr="00A46F94">
        <w:t xml:space="preserve">liff: How </w:t>
      </w:r>
      <w:r w:rsidR="008729A7">
        <w:t>M</w:t>
      </w:r>
      <w:r w:rsidR="00A46F94" w:rsidRPr="00A46F94">
        <w:t xml:space="preserve">any </w:t>
      </w:r>
      <w:r w:rsidR="008729A7">
        <w:t>E</w:t>
      </w:r>
      <w:r w:rsidR="00A46F94" w:rsidRPr="00A46F94">
        <w:t xml:space="preserve">nrollees </w:t>
      </w:r>
      <w:r w:rsidR="008729A7">
        <w:t>A</w:t>
      </w:r>
      <w:r w:rsidR="00A46F94" w:rsidRPr="00A46F94">
        <w:t xml:space="preserve">re </w:t>
      </w:r>
      <w:r w:rsidR="008729A7">
        <w:t>Ac</w:t>
      </w:r>
      <w:r w:rsidR="00A46F94" w:rsidRPr="00A46F94">
        <w:t xml:space="preserve">tually </w:t>
      </w:r>
      <w:r w:rsidR="008729A7">
        <w:t>A</w:t>
      </w:r>
      <w:r w:rsidR="00A46F94" w:rsidRPr="00A46F94">
        <w:t>ffected?</w:t>
      </w:r>
      <w:r w:rsidRPr="00A46F94">
        <w:t>,”</w:t>
      </w:r>
      <w:r w:rsidR="00A46F94" w:rsidRPr="00A46F94">
        <w:t xml:space="preserve"> </w:t>
      </w:r>
      <w:r w:rsidR="007B3293">
        <w:t>Open Market (blog)</w:t>
      </w:r>
      <w:r w:rsidR="00CB3F25">
        <w:t xml:space="preserve">, Competitive Enterprise Institute, </w:t>
      </w:r>
      <w:r w:rsidR="00A46F94" w:rsidRPr="00A46F94">
        <w:t>November 7, 2025,</w:t>
      </w:r>
      <w:r w:rsidRPr="00A46F94">
        <w:t xml:space="preserve"> https://cei.org/blog/obamacares-subsidy-cliff-how-many-enrollees-are-actually-affected/.</w:t>
      </w:r>
    </w:p>
  </w:footnote>
  <w:footnote w:id="18">
    <w:p w14:paraId="226B7B79" w14:textId="72DC3CE6" w:rsidR="00C814D5" w:rsidRDefault="00C814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B27C4" w:rsidRPr="00013496">
        <w:t>Patient Protection and Affordable Care Act; HHS Notice of Benefit and Payment Parameters for 2027 and Basic Health Program; Marketplace Integrity and Affordability, Proposed Rule, RIN 0938-A</w:t>
      </w:r>
      <w:r w:rsidR="00CB27C4">
        <w:t>V</w:t>
      </w:r>
      <w:r w:rsidR="00CB27C4" w:rsidRPr="00013496">
        <w:t>6</w:t>
      </w:r>
      <w:r w:rsidR="00CB27C4">
        <w:t>2</w:t>
      </w:r>
      <w:r w:rsidR="00CB27C4" w:rsidRPr="00013496">
        <w:t>,</w:t>
      </w:r>
      <w:r w:rsidR="00CB27C4" w:rsidRPr="007E7E73">
        <w:rPr>
          <w:rFonts w:cs="Times New Roman"/>
        </w:rPr>
        <w:t xml:space="preserve"> </w:t>
      </w:r>
      <w:r w:rsidR="00CB27C4" w:rsidRPr="000431C2">
        <w:rPr>
          <w:color w:val="000000" w:themeColor="text1"/>
        </w:rPr>
        <w:t>§156.115(d)</w:t>
      </w:r>
      <w:r w:rsidR="00CB27C4">
        <w:rPr>
          <w:rFonts w:cs="Times New Roman"/>
        </w:rPr>
        <w:t>,</w:t>
      </w:r>
      <w:r w:rsidR="00CB27C4" w:rsidRPr="00013496">
        <w:t xml:space="preserve"> Feb</w:t>
      </w:r>
      <w:r w:rsidR="00CB27C4">
        <w:t>ruary</w:t>
      </w:r>
      <w:r w:rsidR="00CB27C4" w:rsidRPr="00013496">
        <w:t xml:space="preserve"> 11, 2026.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5C5D" w14:textId="77777777" w:rsidR="006456B9" w:rsidRDefault="006456B9">
    <w:pPr>
      <w:pStyle w:val="Header"/>
    </w:pPr>
    <w:r w:rsidRPr="00611645">
      <w:rPr>
        <w:noProof/>
      </w:rPr>
      <w:drawing>
        <wp:anchor distT="0" distB="0" distL="114300" distR="114300" simplePos="0" relativeHeight="251706368" behindDoc="0" locked="0" layoutInCell="1" allowOverlap="1" wp14:anchorId="29269E0C" wp14:editId="498A0DFF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5943600" cy="988060"/>
          <wp:effectExtent l="0" t="0" r="0" b="254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8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A7B"/>
    <w:multiLevelType w:val="hybridMultilevel"/>
    <w:tmpl w:val="2A64CCAE"/>
    <w:lvl w:ilvl="0" w:tplc="DA7C70E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545F2"/>
    <w:multiLevelType w:val="hybridMultilevel"/>
    <w:tmpl w:val="12FCCD82"/>
    <w:lvl w:ilvl="0" w:tplc="96A22A44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</w:rPr>
    </w:lvl>
    <w:lvl w:ilvl="1" w:tplc="DE88B29C">
      <w:numFmt w:val="bullet"/>
      <w:lvlText w:val="•"/>
      <w:lvlJc w:val="left"/>
      <w:pPr>
        <w:ind w:left="2624" w:hanging="360"/>
      </w:pPr>
      <w:rPr>
        <w:rFonts w:hint="default"/>
      </w:rPr>
    </w:lvl>
    <w:lvl w:ilvl="2" w:tplc="C1F0AB3A">
      <w:numFmt w:val="bullet"/>
      <w:lvlText w:val="•"/>
      <w:lvlJc w:val="left"/>
      <w:pPr>
        <w:ind w:left="3508" w:hanging="360"/>
      </w:pPr>
      <w:rPr>
        <w:rFonts w:hint="default"/>
      </w:rPr>
    </w:lvl>
    <w:lvl w:ilvl="3" w:tplc="7D328976">
      <w:numFmt w:val="bullet"/>
      <w:lvlText w:val="•"/>
      <w:lvlJc w:val="left"/>
      <w:pPr>
        <w:ind w:left="4392" w:hanging="360"/>
      </w:pPr>
      <w:rPr>
        <w:rFonts w:hint="default"/>
      </w:rPr>
    </w:lvl>
    <w:lvl w:ilvl="4" w:tplc="14A089A8">
      <w:numFmt w:val="bullet"/>
      <w:lvlText w:val="•"/>
      <w:lvlJc w:val="left"/>
      <w:pPr>
        <w:ind w:left="5276" w:hanging="360"/>
      </w:pPr>
      <w:rPr>
        <w:rFonts w:hint="default"/>
      </w:rPr>
    </w:lvl>
    <w:lvl w:ilvl="5" w:tplc="8F228F5E">
      <w:numFmt w:val="bullet"/>
      <w:lvlText w:val="•"/>
      <w:lvlJc w:val="left"/>
      <w:pPr>
        <w:ind w:left="6160" w:hanging="360"/>
      </w:pPr>
      <w:rPr>
        <w:rFonts w:hint="default"/>
      </w:rPr>
    </w:lvl>
    <w:lvl w:ilvl="6" w:tplc="6C58F826"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5E601314">
      <w:numFmt w:val="bullet"/>
      <w:lvlText w:val="•"/>
      <w:lvlJc w:val="left"/>
      <w:pPr>
        <w:ind w:left="7928" w:hanging="360"/>
      </w:pPr>
      <w:rPr>
        <w:rFonts w:hint="default"/>
      </w:rPr>
    </w:lvl>
    <w:lvl w:ilvl="8" w:tplc="54D045D2">
      <w:numFmt w:val="bullet"/>
      <w:lvlText w:val="•"/>
      <w:lvlJc w:val="left"/>
      <w:pPr>
        <w:ind w:left="8812" w:hanging="360"/>
      </w:pPr>
      <w:rPr>
        <w:rFonts w:hint="default"/>
      </w:rPr>
    </w:lvl>
  </w:abstractNum>
  <w:abstractNum w:abstractNumId="2" w15:restartNumberingAfterBreak="0">
    <w:nsid w:val="06620500"/>
    <w:multiLevelType w:val="hybridMultilevel"/>
    <w:tmpl w:val="F8AC9B84"/>
    <w:lvl w:ilvl="0" w:tplc="AF18C124">
      <w:start w:val="1"/>
      <w:numFmt w:val="upperRoman"/>
      <w:lvlText w:val="%1."/>
      <w:lvlJc w:val="left"/>
      <w:pPr>
        <w:ind w:left="1740" w:hanging="720"/>
      </w:pPr>
      <w:rPr>
        <w:rFonts w:ascii="Garamond" w:eastAsia="Garamond" w:hAnsi="Garamond" w:cs="Garamond" w:hint="default"/>
        <w:b/>
        <w:bCs/>
        <w:i w:val="0"/>
        <w:iCs w:val="0"/>
        <w:spacing w:val="-1"/>
        <w:w w:val="99"/>
        <w:sz w:val="28"/>
        <w:szCs w:val="28"/>
      </w:rPr>
    </w:lvl>
    <w:lvl w:ilvl="1" w:tplc="0150C7B0">
      <w:numFmt w:val="bullet"/>
      <w:lvlText w:val="•"/>
      <w:lvlJc w:val="left"/>
      <w:pPr>
        <w:ind w:left="2624" w:hanging="720"/>
      </w:pPr>
      <w:rPr>
        <w:rFonts w:hint="default"/>
      </w:rPr>
    </w:lvl>
    <w:lvl w:ilvl="2" w:tplc="334079EC">
      <w:numFmt w:val="bullet"/>
      <w:lvlText w:val="•"/>
      <w:lvlJc w:val="left"/>
      <w:pPr>
        <w:ind w:left="3508" w:hanging="720"/>
      </w:pPr>
      <w:rPr>
        <w:rFonts w:hint="default"/>
      </w:rPr>
    </w:lvl>
    <w:lvl w:ilvl="3" w:tplc="BBC04388">
      <w:numFmt w:val="bullet"/>
      <w:lvlText w:val="•"/>
      <w:lvlJc w:val="left"/>
      <w:pPr>
        <w:ind w:left="4392" w:hanging="720"/>
      </w:pPr>
      <w:rPr>
        <w:rFonts w:hint="default"/>
      </w:rPr>
    </w:lvl>
    <w:lvl w:ilvl="4" w:tplc="35F69FD8">
      <w:numFmt w:val="bullet"/>
      <w:lvlText w:val="•"/>
      <w:lvlJc w:val="left"/>
      <w:pPr>
        <w:ind w:left="5276" w:hanging="720"/>
      </w:pPr>
      <w:rPr>
        <w:rFonts w:hint="default"/>
      </w:rPr>
    </w:lvl>
    <w:lvl w:ilvl="5" w:tplc="BE4ABE54">
      <w:numFmt w:val="bullet"/>
      <w:lvlText w:val="•"/>
      <w:lvlJc w:val="left"/>
      <w:pPr>
        <w:ind w:left="6160" w:hanging="720"/>
      </w:pPr>
      <w:rPr>
        <w:rFonts w:hint="default"/>
      </w:rPr>
    </w:lvl>
    <w:lvl w:ilvl="6" w:tplc="1A78F5D6">
      <w:numFmt w:val="bullet"/>
      <w:lvlText w:val="•"/>
      <w:lvlJc w:val="left"/>
      <w:pPr>
        <w:ind w:left="7044" w:hanging="720"/>
      </w:pPr>
      <w:rPr>
        <w:rFonts w:hint="default"/>
      </w:rPr>
    </w:lvl>
    <w:lvl w:ilvl="7" w:tplc="C8448BF8">
      <w:numFmt w:val="bullet"/>
      <w:lvlText w:val="•"/>
      <w:lvlJc w:val="left"/>
      <w:pPr>
        <w:ind w:left="7928" w:hanging="720"/>
      </w:pPr>
      <w:rPr>
        <w:rFonts w:hint="default"/>
      </w:rPr>
    </w:lvl>
    <w:lvl w:ilvl="8" w:tplc="4D9A6632">
      <w:numFmt w:val="bullet"/>
      <w:lvlText w:val="•"/>
      <w:lvlJc w:val="left"/>
      <w:pPr>
        <w:ind w:left="8812" w:hanging="720"/>
      </w:pPr>
      <w:rPr>
        <w:rFonts w:hint="default"/>
      </w:rPr>
    </w:lvl>
  </w:abstractNum>
  <w:abstractNum w:abstractNumId="3" w15:restartNumberingAfterBreak="0">
    <w:nsid w:val="0E725C60"/>
    <w:multiLevelType w:val="hybridMultilevel"/>
    <w:tmpl w:val="1D386502"/>
    <w:lvl w:ilvl="0" w:tplc="7C02E9D6">
      <w:start w:val="1"/>
      <w:numFmt w:val="upperRoman"/>
      <w:lvlText w:val="%1."/>
      <w:lvlJc w:val="left"/>
      <w:pPr>
        <w:ind w:left="1740" w:hanging="432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8"/>
        <w:szCs w:val="28"/>
      </w:rPr>
    </w:lvl>
    <w:lvl w:ilvl="1" w:tplc="5D9A3618">
      <w:start w:val="1"/>
      <w:numFmt w:val="decimal"/>
      <w:lvlText w:val="%2."/>
      <w:lvlJc w:val="left"/>
      <w:pPr>
        <w:ind w:left="1740" w:hanging="361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8"/>
        <w:szCs w:val="28"/>
      </w:rPr>
    </w:lvl>
    <w:lvl w:ilvl="2" w:tplc="9F6C5AEE">
      <w:numFmt w:val="bullet"/>
      <w:lvlText w:val="•"/>
      <w:lvlJc w:val="left"/>
      <w:pPr>
        <w:ind w:left="3508" w:hanging="361"/>
      </w:pPr>
      <w:rPr>
        <w:rFonts w:hint="default"/>
      </w:rPr>
    </w:lvl>
    <w:lvl w:ilvl="3" w:tplc="D214E9DE">
      <w:numFmt w:val="bullet"/>
      <w:lvlText w:val="•"/>
      <w:lvlJc w:val="left"/>
      <w:pPr>
        <w:ind w:left="4392" w:hanging="361"/>
      </w:pPr>
      <w:rPr>
        <w:rFonts w:hint="default"/>
      </w:rPr>
    </w:lvl>
    <w:lvl w:ilvl="4" w:tplc="7FA6947E">
      <w:numFmt w:val="bullet"/>
      <w:lvlText w:val="•"/>
      <w:lvlJc w:val="left"/>
      <w:pPr>
        <w:ind w:left="5276" w:hanging="361"/>
      </w:pPr>
      <w:rPr>
        <w:rFonts w:hint="default"/>
      </w:rPr>
    </w:lvl>
    <w:lvl w:ilvl="5" w:tplc="3006A666">
      <w:numFmt w:val="bullet"/>
      <w:lvlText w:val="•"/>
      <w:lvlJc w:val="left"/>
      <w:pPr>
        <w:ind w:left="6160" w:hanging="361"/>
      </w:pPr>
      <w:rPr>
        <w:rFonts w:hint="default"/>
      </w:rPr>
    </w:lvl>
    <w:lvl w:ilvl="6" w:tplc="1666B3D6">
      <w:numFmt w:val="bullet"/>
      <w:lvlText w:val="•"/>
      <w:lvlJc w:val="left"/>
      <w:pPr>
        <w:ind w:left="7044" w:hanging="361"/>
      </w:pPr>
      <w:rPr>
        <w:rFonts w:hint="default"/>
      </w:rPr>
    </w:lvl>
    <w:lvl w:ilvl="7" w:tplc="C5E0B410">
      <w:numFmt w:val="bullet"/>
      <w:lvlText w:val="•"/>
      <w:lvlJc w:val="left"/>
      <w:pPr>
        <w:ind w:left="7928" w:hanging="361"/>
      </w:pPr>
      <w:rPr>
        <w:rFonts w:hint="default"/>
      </w:rPr>
    </w:lvl>
    <w:lvl w:ilvl="8" w:tplc="6C4E4F0A">
      <w:numFmt w:val="bullet"/>
      <w:lvlText w:val="•"/>
      <w:lvlJc w:val="left"/>
      <w:pPr>
        <w:ind w:left="8812" w:hanging="361"/>
      </w:pPr>
      <w:rPr>
        <w:rFonts w:hint="default"/>
      </w:rPr>
    </w:lvl>
  </w:abstractNum>
  <w:abstractNum w:abstractNumId="4" w15:restartNumberingAfterBreak="0">
    <w:nsid w:val="10B05D42"/>
    <w:multiLevelType w:val="multilevel"/>
    <w:tmpl w:val="EB0CC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25653"/>
    <w:multiLevelType w:val="hybridMultilevel"/>
    <w:tmpl w:val="F9026132"/>
    <w:lvl w:ilvl="0" w:tplc="3DAE8706">
      <w:start w:val="1"/>
      <w:numFmt w:val="upperLetter"/>
      <w:lvlText w:val="%1."/>
      <w:lvlJc w:val="left"/>
      <w:pPr>
        <w:ind w:left="2459" w:hanging="720"/>
      </w:pPr>
      <w:rPr>
        <w:rFonts w:ascii="Garamond" w:eastAsia="Garamond" w:hAnsi="Garamond" w:cs="Garamond" w:hint="default"/>
        <w:b/>
        <w:bCs/>
        <w:i w:val="0"/>
        <w:iCs w:val="0"/>
        <w:w w:val="99"/>
        <w:sz w:val="28"/>
        <w:szCs w:val="28"/>
      </w:rPr>
    </w:lvl>
    <w:lvl w:ilvl="1" w:tplc="8252E618">
      <w:numFmt w:val="bullet"/>
      <w:lvlText w:val="•"/>
      <w:lvlJc w:val="left"/>
      <w:pPr>
        <w:ind w:left="3272" w:hanging="720"/>
      </w:pPr>
      <w:rPr>
        <w:rFonts w:hint="default"/>
      </w:rPr>
    </w:lvl>
    <w:lvl w:ilvl="2" w:tplc="C400B5AE">
      <w:numFmt w:val="bullet"/>
      <w:lvlText w:val="•"/>
      <w:lvlJc w:val="left"/>
      <w:pPr>
        <w:ind w:left="4084" w:hanging="720"/>
      </w:pPr>
      <w:rPr>
        <w:rFonts w:hint="default"/>
      </w:rPr>
    </w:lvl>
    <w:lvl w:ilvl="3" w:tplc="65D07488">
      <w:numFmt w:val="bullet"/>
      <w:lvlText w:val="•"/>
      <w:lvlJc w:val="left"/>
      <w:pPr>
        <w:ind w:left="4896" w:hanging="720"/>
      </w:pPr>
      <w:rPr>
        <w:rFonts w:hint="default"/>
      </w:rPr>
    </w:lvl>
    <w:lvl w:ilvl="4" w:tplc="15F6F0AA">
      <w:numFmt w:val="bullet"/>
      <w:lvlText w:val="•"/>
      <w:lvlJc w:val="left"/>
      <w:pPr>
        <w:ind w:left="5708" w:hanging="720"/>
      </w:pPr>
      <w:rPr>
        <w:rFonts w:hint="default"/>
      </w:rPr>
    </w:lvl>
    <w:lvl w:ilvl="5" w:tplc="312CC0A6">
      <w:numFmt w:val="bullet"/>
      <w:lvlText w:val="•"/>
      <w:lvlJc w:val="left"/>
      <w:pPr>
        <w:ind w:left="6520" w:hanging="720"/>
      </w:pPr>
      <w:rPr>
        <w:rFonts w:hint="default"/>
      </w:rPr>
    </w:lvl>
    <w:lvl w:ilvl="6" w:tplc="5B705D2A">
      <w:numFmt w:val="bullet"/>
      <w:lvlText w:val="•"/>
      <w:lvlJc w:val="left"/>
      <w:pPr>
        <w:ind w:left="7332" w:hanging="720"/>
      </w:pPr>
      <w:rPr>
        <w:rFonts w:hint="default"/>
      </w:rPr>
    </w:lvl>
    <w:lvl w:ilvl="7" w:tplc="A6B870E8">
      <w:numFmt w:val="bullet"/>
      <w:lvlText w:val="•"/>
      <w:lvlJc w:val="left"/>
      <w:pPr>
        <w:ind w:left="8144" w:hanging="720"/>
      </w:pPr>
      <w:rPr>
        <w:rFonts w:hint="default"/>
      </w:rPr>
    </w:lvl>
    <w:lvl w:ilvl="8" w:tplc="0A162D98">
      <w:numFmt w:val="bullet"/>
      <w:lvlText w:val="•"/>
      <w:lvlJc w:val="left"/>
      <w:pPr>
        <w:ind w:left="8956" w:hanging="720"/>
      </w:pPr>
      <w:rPr>
        <w:rFonts w:hint="default"/>
      </w:rPr>
    </w:lvl>
  </w:abstractNum>
  <w:abstractNum w:abstractNumId="6" w15:restartNumberingAfterBreak="0">
    <w:nsid w:val="17332944"/>
    <w:multiLevelType w:val="hybridMultilevel"/>
    <w:tmpl w:val="BEF407B0"/>
    <w:lvl w:ilvl="0" w:tplc="36AA6066">
      <w:start w:val="1"/>
      <w:numFmt w:val="upperRoman"/>
      <w:lvlText w:val="%1."/>
      <w:lvlJc w:val="left"/>
      <w:pPr>
        <w:ind w:left="2100" w:hanging="720"/>
        <w:jc w:val="right"/>
      </w:pPr>
      <w:rPr>
        <w:rFonts w:ascii="Garamond" w:eastAsia="Garamond" w:hAnsi="Garamond" w:cs="Garamond" w:hint="default"/>
        <w:b/>
        <w:bCs/>
        <w:i w:val="0"/>
        <w:iCs w:val="0"/>
        <w:spacing w:val="-1"/>
        <w:w w:val="99"/>
        <w:sz w:val="28"/>
        <w:szCs w:val="28"/>
      </w:rPr>
    </w:lvl>
    <w:lvl w:ilvl="1" w:tplc="AD123A54">
      <w:start w:val="1"/>
      <w:numFmt w:val="decimal"/>
      <w:lvlText w:val="%2."/>
      <w:lvlJc w:val="left"/>
      <w:pPr>
        <w:ind w:left="1740" w:hanging="361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8"/>
        <w:szCs w:val="28"/>
      </w:rPr>
    </w:lvl>
    <w:lvl w:ilvl="2" w:tplc="12244DB2">
      <w:numFmt w:val="bullet"/>
      <w:lvlText w:val="•"/>
      <w:lvlJc w:val="left"/>
      <w:pPr>
        <w:ind w:left="3042" w:hanging="361"/>
      </w:pPr>
      <w:rPr>
        <w:rFonts w:hint="default"/>
      </w:rPr>
    </w:lvl>
    <w:lvl w:ilvl="3" w:tplc="0CA8E596">
      <w:numFmt w:val="bullet"/>
      <w:lvlText w:val="•"/>
      <w:lvlJc w:val="left"/>
      <w:pPr>
        <w:ind w:left="3984" w:hanging="361"/>
      </w:pPr>
      <w:rPr>
        <w:rFonts w:hint="default"/>
      </w:rPr>
    </w:lvl>
    <w:lvl w:ilvl="4" w:tplc="3586E224">
      <w:numFmt w:val="bullet"/>
      <w:lvlText w:val="•"/>
      <w:lvlJc w:val="left"/>
      <w:pPr>
        <w:ind w:left="4926" w:hanging="361"/>
      </w:pPr>
      <w:rPr>
        <w:rFonts w:hint="default"/>
      </w:rPr>
    </w:lvl>
    <w:lvl w:ilvl="5" w:tplc="35DCC0CA">
      <w:numFmt w:val="bullet"/>
      <w:lvlText w:val="•"/>
      <w:lvlJc w:val="left"/>
      <w:pPr>
        <w:ind w:left="5868" w:hanging="361"/>
      </w:pPr>
      <w:rPr>
        <w:rFonts w:hint="default"/>
      </w:rPr>
    </w:lvl>
    <w:lvl w:ilvl="6" w:tplc="8A844BA0">
      <w:numFmt w:val="bullet"/>
      <w:lvlText w:val="•"/>
      <w:lvlJc w:val="left"/>
      <w:pPr>
        <w:ind w:left="6811" w:hanging="361"/>
      </w:pPr>
      <w:rPr>
        <w:rFonts w:hint="default"/>
      </w:rPr>
    </w:lvl>
    <w:lvl w:ilvl="7" w:tplc="C2C48AA2">
      <w:numFmt w:val="bullet"/>
      <w:lvlText w:val="•"/>
      <w:lvlJc w:val="left"/>
      <w:pPr>
        <w:ind w:left="7753" w:hanging="361"/>
      </w:pPr>
      <w:rPr>
        <w:rFonts w:hint="default"/>
      </w:rPr>
    </w:lvl>
    <w:lvl w:ilvl="8" w:tplc="F6D4D1DC">
      <w:numFmt w:val="bullet"/>
      <w:lvlText w:val="•"/>
      <w:lvlJc w:val="left"/>
      <w:pPr>
        <w:ind w:left="8695" w:hanging="361"/>
      </w:pPr>
      <w:rPr>
        <w:rFonts w:hint="default"/>
      </w:rPr>
    </w:lvl>
  </w:abstractNum>
  <w:abstractNum w:abstractNumId="7" w15:restartNumberingAfterBreak="0">
    <w:nsid w:val="1EF42DB4"/>
    <w:multiLevelType w:val="hybridMultilevel"/>
    <w:tmpl w:val="B50634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604A72"/>
    <w:multiLevelType w:val="hybridMultilevel"/>
    <w:tmpl w:val="60C0109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B76A99"/>
    <w:multiLevelType w:val="hybridMultilevel"/>
    <w:tmpl w:val="8E5C050E"/>
    <w:lvl w:ilvl="0" w:tplc="C6401E9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937DBC"/>
    <w:multiLevelType w:val="hybridMultilevel"/>
    <w:tmpl w:val="E2E631A8"/>
    <w:lvl w:ilvl="0" w:tplc="500A196C">
      <w:start w:val="1"/>
      <w:numFmt w:val="decimal"/>
      <w:lvlText w:val="(%1)"/>
      <w:lvlJc w:val="left"/>
      <w:pPr>
        <w:ind w:left="1020" w:hanging="295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1" w:tplc="B50C146A">
      <w:start w:val="1"/>
      <w:numFmt w:val="lowerRoman"/>
      <w:lvlText w:val="(%2)"/>
      <w:lvlJc w:val="left"/>
      <w:pPr>
        <w:ind w:left="1741" w:hanging="228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2" w:tplc="914EE322">
      <w:numFmt w:val="bullet"/>
      <w:lvlText w:val="•"/>
      <w:lvlJc w:val="left"/>
      <w:pPr>
        <w:ind w:left="2722" w:hanging="228"/>
      </w:pPr>
      <w:rPr>
        <w:rFonts w:hint="default"/>
      </w:rPr>
    </w:lvl>
    <w:lvl w:ilvl="3" w:tplc="371EC738">
      <w:numFmt w:val="bullet"/>
      <w:lvlText w:val="•"/>
      <w:lvlJc w:val="left"/>
      <w:pPr>
        <w:ind w:left="3704" w:hanging="228"/>
      </w:pPr>
      <w:rPr>
        <w:rFonts w:hint="default"/>
      </w:rPr>
    </w:lvl>
    <w:lvl w:ilvl="4" w:tplc="2580E9D6">
      <w:numFmt w:val="bullet"/>
      <w:lvlText w:val="•"/>
      <w:lvlJc w:val="left"/>
      <w:pPr>
        <w:ind w:left="4686" w:hanging="228"/>
      </w:pPr>
      <w:rPr>
        <w:rFonts w:hint="default"/>
      </w:rPr>
    </w:lvl>
    <w:lvl w:ilvl="5" w:tplc="41001784">
      <w:numFmt w:val="bullet"/>
      <w:lvlText w:val="•"/>
      <w:lvlJc w:val="left"/>
      <w:pPr>
        <w:ind w:left="5668" w:hanging="228"/>
      </w:pPr>
      <w:rPr>
        <w:rFonts w:hint="default"/>
      </w:rPr>
    </w:lvl>
    <w:lvl w:ilvl="6" w:tplc="94BA11A2">
      <w:numFmt w:val="bullet"/>
      <w:lvlText w:val="•"/>
      <w:lvlJc w:val="left"/>
      <w:pPr>
        <w:ind w:left="6651" w:hanging="228"/>
      </w:pPr>
      <w:rPr>
        <w:rFonts w:hint="default"/>
      </w:rPr>
    </w:lvl>
    <w:lvl w:ilvl="7" w:tplc="E95E6E6E">
      <w:numFmt w:val="bullet"/>
      <w:lvlText w:val="•"/>
      <w:lvlJc w:val="left"/>
      <w:pPr>
        <w:ind w:left="7633" w:hanging="228"/>
      </w:pPr>
      <w:rPr>
        <w:rFonts w:hint="default"/>
      </w:rPr>
    </w:lvl>
    <w:lvl w:ilvl="8" w:tplc="095428CC">
      <w:numFmt w:val="bullet"/>
      <w:lvlText w:val="•"/>
      <w:lvlJc w:val="left"/>
      <w:pPr>
        <w:ind w:left="8615" w:hanging="228"/>
      </w:pPr>
      <w:rPr>
        <w:rFonts w:hint="default"/>
      </w:rPr>
    </w:lvl>
  </w:abstractNum>
  <w:abstractNum w:abstractNumId="11" w15:restartNumberingAfterBreak="0">
    <w:nsid w:val="27CF66DF"/>
    <w:multiLevelType w:val="hybridMultilevel"/>
    <w:tmpl w:val="968E2AEE"/>
    <w:lvl w:ilvl="0" w:tplc="344E0D2E">
      <w:numFmt w:val="bullet"/>
      <w:lvlText w:val=""/>
      <w:lvlJc w:val="left"/>
      <w:pPr>
        <w:ind w:left="6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0D6E9C0E">
      <w:numFmt w:val="bullet"/>
      <w:lvlText w:val="•"/>
      <w:lvlJc w:val="left"/>
      <w:pPr>
        <w:ind w:left="1000" w:hanging="360"/>
      </w:pPr>
      <w:rPr>
        <w:rFonts w:hint="default"/>
      </w:rPr>
    </w:lvl>
    <w:lvl w:ilvl="2" w:tplc="68249882">
      <w:numFmt w:val="bullet"/>
      <w:lvlText w:val="•"/>
      <w:lvlJc w:val="left"/>
      <w:pPr>
        <w:ind w:left="1340" w:hanging="360"/>
      </w:pPr>
      <w:rPr>
        <w:rFonts w:hint="default"/>
      </w:rPr>
    </w:lvl>
    <w:lvl w:ilvl="3" w:tplc="60CE5738">
      <w:numFmt w:val="bullet"/>
      <w:lvlText w:val="•"/>
      <w:lvlJc w:val="left"/>
      <w:pPr>
        <w:ind w:left="1681" w:hanging="360"/>
      </w:pPr>
      <w:rPr>
        <w:rFonts w:hint="default"/>
      </w:rPr>
    </w:lvl>
    <w:lvl w:ilvl="4" w:tplc="52A4C838">
      <w:numFmt w:val="bullet"/>
      <w:lvlText w:val="•"/>
      <w:lvlJc w:val="left"/>
      <w:pPr>
        <w:ind w:left="2021" w:hanging="360"/>
      </w:pPr>
      <w:rPr>
        <w:rFonts w:hint="default"/>
      </w:rPr>
    </w:lvl>
    <w:lvl w:ilvl="5" w:tplc="C9905608">
      <w:numFmt w:val="bullet"/>
      <w:lvlText w:val="•"/>
      <w:lvlJc w:val="left"/>
      <w:pPr>
        <w:ind w:left="2362" w:hanging="360"/>
      </w:pPr>
      <w:rPr>
        <w:rFonts w:hint="default"/>
      </w:rPr>
    </w:lvl>
    <w:lvl w:ilvl="6" w:tplc="D69CAE46">
      <w:numFmt w:val="bullet"/>
      <w:lvlText w:val="•"/>
      <w:lvlJc w:val="left"/>
      <w:pPr>
        <w:ind w:left="2702" w:hanging="360"/>
      </w:pPr>
      <w:rPr>
        <w:rFonts w:hint="default"/>
      </w:rPr>
    </w:lvl>
    <w:lvl w:ilvl="7" w:tplc="351855B4">
      <w:numFmt w:val="bullet"/>
      <w:lvlText w:val="•"/>
      <w:lvlJc w:val="left"/>
      <w:pPr>
        <w:ind w:left="3043" w:hanging="360"/>
      </w:pPr>
      <w:rPr>
        <w:rFonts w:hint="default"/>
      </w:rPr>
    </w:lvl>
    <w:lvl w:ilvl="8" w:tplc="4746A326">
      <w:numFmt w:val="bullet"/>
      <w:lvlText w:val="•"/>
      <w:lvlJc w:val="left"/>
      <w:pPr>
        <w:ind w:left="3383" w:hanging="360"/>
      </w:pPr>
      <w:rPr>
        <w:rFonts w:hint="default"/>
      </w:rPr>
    </w:lvl>
  </w:abstractNum>
  <w:abstractNum w:abstractNumId="12" w15:restartNumberingAfterBreak="0">
    <w:nsid w:val="2C7414AE"/>
    <w:multiLevelType w:val="hybridMultilevel"/>
    <w:tmpl w:val="F19A6616"/>
    <w:lvl w:ilvl="0" w:tplc="BC802300">
      <w:start w:val="1"/>
      <w:numFmt w:val="upperLetter"/>
      <w:lvlText w:val="(%1)"/>
      <w:lvlJc w:val="left"/>
      <w:pPr>
        <w:ind w:left="1740" w:hanging="354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6"/>
        <w:szCs w:val="26"/>
      </w:rPr>
    </w:lvl>
    <w:lvl w:ilvl="1" w:tplc="1214F1BC">
      <w:numFmt w:val="bullet"/>
      <w:lvlText w:val="•"/>
      <w:lvlJc w:val="left"/>
      <w:pPr>
        <w:ind w:left="2624" w:hanging="354"/>
      </w:pPr>
      <w:rPr>
        <w:rFonts w:hint="default"/>
      </w:rPr>
    </w:lvl>
    <w:lvl w:ilvl="2" w:tplc="4352058C">
      <w:numFmt w:val="bullet"/>
      <w:lvlText w:val="•"/>
      <w:lvlJc w:val="left"/>
      <w:pPr>
        <w:ind w:left="3508" w:hanging="354"/>
      </w:pPr>
      <w:rPr>
        <w:rFonts w:hint="default"/>
      </w:rPr>
    </w:lvl>
    <w:lvl w:ilvl="3" w:tplc="22543914">
      <w:numFmt w:val="bullet"/>
      <w:lvlText w:val="•"/>
      <w:lvlJc w:val="left"/>
      <w:pPr>
        <w:ind w:left="4392" w:hanging="354"/>
      </w:pPr>
      <w:rPr>
        <w:rFonts w:hint="default"/>
      </w:rPr>
    </w:lvl>
    <w:lvl w:ilvl="4" w:tplc="38EAF800">
      <w:numFmt w:val="bullet"/>
      <w:lvlText w:val="•"/>
      <w:lvlJc w:val="left"/>
      <w:pPr>
        <w:ind w:left="5276" w:hanging="354"/>
      </w:pPr>
      <w:rPr>
        <w:rFonts w:hint="default"/>
      </w:rPr>
    </w:lvl>
    <w:lvl w:ilvl="5" w:tplc="BDD0723C">
      <w:numFmt w:val="bullet"/>
      <w:lvlText w:val="•"/>
      <w:lvlJc w:val="left"/>
      <w:pPr>
        <w:ind w:left="6160" w:hanging="354"/>
      </w:pPr>
      <w:rPr>
        <w:rFonts w:hint="default"/>
      </w:rPr>
    </w:lvl>
    <w:lvl w:ilvl="6" w:tplc="EC9E181A">
      <w:numFmt w:val="bullet"/>
      <w:lvlText w:val="•"/>
      <w:lvlJc w:val="left"/>
      <w:pPr>
        <w:ind w:left="7044" w:hanging="354"/>
      </w:pPr>
      <w:rPr>
        <w:rFonts w:hint="default"/>
      </w:rPr>
    </w:lvl>
    <w:lvl w:ilvl="7" w:tplc="051C50F0">
      <w:numFmt w:val="bullet"/>
      <w:lvlText w:val="•"/>
      <w:lvlJc w:val="left"/>
      <w:pPr>
        <w:ind w:left="7928" w:hanging="354"/>
      </w:pPr>
      <w:rPr>
        <w:rFonts w:hint="default"/>
      </w:rPr>
    </w:lvl>
    <w:lvl w:ilvl="8" w:tplc="7FBCE1B4">
      <w:numFmt w:val="bullet"/>
      <w:lvlText w:val="•"/>
      <w:lvlJc w:val="left"/>
      <w:pPr>
        <w:ind w:left="8812" w:hanging="354"/>
      </w:pPr>
      <w:rPr>
        <w:rFonts w:hint="default"/>
      </w:rPr>
    </w:lvl>
  </w:abstractNum>
  <w:abstractNum w:abstractNumId="13" w15:restartNumberingAfterBreak="0">
    <w:nsid w:val="34E156CA"/>
    <w:multiLevelType w:val="hybridMultilevel"/>
    <w:tmpl w:val="A3D6E3F0"/>
    <w:lvl w:ilvl="0" w:tplc="01EAB776">
      <w:numFmt w:val="bullet"/>
      <w:lvlText w:val="o"/>
      <w:lvlJc w:val="left"/>
      <w:pPr>
        <w:ind w:left="163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</w:rPr>
    </w:lvl>
    <w:lvl w:ilvl="1" w:tplc="B458242A">
      <w:numFmt w:val="bullet"/>
      <w:lvlText w:val="—"/>
      <w:lvlJc w:val="left"/>
      <w:pPr>
        <w:ind w:left="23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</w:rPr>
    </w:lvl>
    <w:lvl w:ilvl="2" w:tplc="A90836E6">
      <w:numFmt w:val="bullet"/>
      <w:lvlText w:val="•"/>
      <w:lvlJc w:val="left"/>
      <w:pPr>
        <w:ind w:left="3255" w:hanging="360"/>
      </w:pPr>
      <w:rPr>
        <w:rFonts w:hint="default"/>
      </w:rPr>
    </w:lvl>
    <w:lvl w:ilvl="3" w:tplc="81204422">
      <w:numFmt w:val="bullet"/>
      <w:lvlText w:val="•"/>
      <w:lvlJc w:val="left"/>
      <w:pPr>
        <w:ind w:left="4171" w:hanging="360"/>
      </w:pPr>
      <w:rPr>
        <w:rFonts w:hint="default"/>
      </w:rPr>
    </w:lvl>
    <w:lvl w:ilvl="4" w:tplc="452C0AA4">
      <w:numFmt w:val="bullet"/>
      <w:lvlText w:val="•"/>
      <w:lvlJc w:val="left"/>
      <w:pPr>
        <w:ind w:left="5086" w:hanging="360"/>
      </w:pPr>
      <w:rPr>
        <w:rFonts w:hint="default"/>
      </w:rPr>
    </w:lvl>
    <w:lvl w:ilvl="5" w:tplc="9C3E63F8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BD4C7B7E">
      <w:numFmt w:val="bullet"/>
      <w:lvlText w:val="•"/>
      <w:lvlJc w:val="left"/>
      <w:pPr>
        <w:ind w:left="6917" w:hanging="360"/>
      </w:pPr>
      <w:rPr>
        <w:rFonts w:hint="default"/>
      </w:rPr>
    </w:lvl>
    <w:lvl w:ilvl="7" w:tplc="04744B0A"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4D58A780">
      <w:numFmt w:val="bullet"/>
      <w:lvlText w:val="•"/>
      <w:lvlJc w:val="left"/>
      <w:pPr>
        <w:ind w:left="8748" w:hanging="360"/>
      </w:pPr>
      <w:rPr>
        <w:rFonts w:hint="default"/>
      </w:rPr>
    </w:lvl>
  </w:abstractNum>
  <w:abstractNum w:abstractNumId="14" w15:restartNumberingAfterBreak="0">
    <w:nsid w:val="381D6875"/>
    <w:multiLevelType w:val="hybridMultilevel"/>
    <w:tmpl w:val="53EE48A8"/>
    <w:lvl w:ilvl="0" w:tplc="D1CE80E6">
      <w:start w:val="9"/>
      <w:numFmt w:val="decimal"/>
      <w:lvlText w:val="(%1)"/>
      <w:lvlJc w:val="left"/>
      <w:pPr>
        <w:ind w:left="1159" w:hanging="369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8"/>
        <w:szCs w:val="28"/>
      </w:rPr>
    </w:lvl>
    <w:lvl w:ilvl="1" w:tplc="861EA40C">
      <w:start w:val="1"/>
      <w:numFmt w:val="upperLetter"/>
      <w:lvlText w:val="(%2)"/>
      <w:lvlJc w:val="left"/>
      <w:pPr>
        <w:ind w:left="1739" w:hanging="354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6"/>
        <w:szCs w:val="26"/>
      </w:rPr>
    </w:lvl>
    <w:lvl w:ilvl="2" w:tplc="F2DEB328">
      <w:numFmt w:val="bullet"/>
      <w:lvlText w:val="•"/>
      <w:lvlJc w:val="left"/>
      <w:pPr>
        <w:ind w:left="2722" w:hanging="354"/>
      </w:pPr>
      <w:rPr>
        <w:rFonts w:hint="default"/>
      </w:rPr>
    </w:lvl>
    <w:lvl w:ilvl="3" w:tplc="8A60EB1C">
      <w:numFmt w:val="bullet"/>
      <w:lvlText w:val="•"/>
      <w:lvlJc w:val="left"/>
      <w:pPr>
        <w:ind w:left="3704" w:hanging="354"/>
      </w:pPr>
      <w:rPr>
        <w:rFonts w:hint="default"/>
      </w:rPr>
    </w:lvl>
    <w:lvl w:ilvl="4" w:tplc="251E3AB0">
      <w:numFmt w:val="bullet"/>
      <w:lvlText w:val="•"/>
      <w:lvlJc w:val="left"/>
      <w:pPr>
        <w:ind w:left="4686" w:hanging="354"/>
      </w:pPr>
      <w:rPr>
        <w:rFonts w:hint="default"/>
      </w:rPr>
    </w:lvl>
    <w:lvl w:ilvl="5" w:tplc="BA9A2980">
      <w:numFmt w:val="bullet"/>
      <w:lvlText w:val="•"/>
      <w:lvlJc w:val="left"/>
      <w:pPr>
        <w:ind w:left="5668" w:hanging="354"/>
      </w:pPr>
      <w:rPr>
        <w:rFonts w:hint="default"/>
      </w:rPr>
    </w:lvl>
    <w:lvl w:ilvl="6" w:tplc="857C558A">
      <w:numFmt w:val="bullet"/>
      <w:lvlText w:val="•"/>
      <w:lvlJc w:val="left"/>
      <w:pPr>
        <w:ind w:left="6651" w:hanging="354"/>
      </w:pPr>
      <w:rPr>
        <w:rFonts w:hint="default"/>
      </w:rPr>
    </w:lvl>
    <w:lvl w:ilvl="7" w:tplc="20BC0D5C">
      <w:numFmt w:val="bullet"/>
      <w:lvlText w:val="•"/>
      <w:lvlJc w:val="left"/>
      <w:pPr>
        <w:ind w:left="7633" w:hanging="354"/>
      </w:pPr>
      <w:rPr>
        <w:rFonts w:hint="default"/>
      </w:rPr>
    </w:lvl>
    <w:lvl w:ilvl="8" w:tplc="FC583FFE">
      <w:numFmt w:val="bullet"/>
      <w:lvlText w:val="•"/>
      <w:lvlJc w:val="left"/>
      <w:pPr>
        <w:ind w:left="8615" w:hanging="354"/>
      </w:pPr>
      <w:rPr>
        <w:rFonts w:hint="default"/>
      </w:rPr>
    </w:lvl>
  </w:abstractNum>
  <w:abstractNum w:abstractNumId="15" w15:restartNumberingAfterBreak="0">
    <w:nsid w:val="395A03BE"/>
    <w:multiLevelType w:val="hybridMultilevel"/>
    <w:tmpl w:val="85A697D4"/>
    <w:lvl w:ilvl="0" w:tplc="20B0503A">
      <w:start w:val="1"/>
      <w:numFmt w:val="lowerLetter"/>
      <w:lvlText w:val="(%1)"/>
      <w:lvlJc w:val="left"/>
      <w:pPr>
        <w:ind w:left="1354" w:hanging="334"/>
      </w:pPr>
      <w:rPr>
        <w:rFonts w:ascii="Garamond" w:eastAsia="Garamond" w:hAnsi="Garamond" w:cs="Garamond" w:hint="default"/>
        <w:b/>
        <w:bCs/>
        <w:i w:val="0"/>
        <w:iCs w:val="0"/>
        <w:w w:val="99"/>
        <w:sz w:val="26"/>
        <w:szCs w:val="26"/>
      </w:rPr>
    </w:lvl>
    <w:lvl w:ilvl="1" w:tplc="28EA0EFA">
      <w:start w:val="1"/>
      <w:numFmt w:val="decimal"/>
      <w:lvlText w:val="(%2)"/>
      <w:lvlJc w:val="left"/>
      <w:pPr>
        <w:ind w:left="1020" w:hanging="296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2" w:tplc="FD84796C">
      <w:start w:val="1"/>
      <w:numFmt w:val="upperLetter"/>
      <w:lvlText w:val="(%3)"/>
      <w:lvlJc w:val="left"/>
      <w:pPr>
        <w:ind w:left="1739" w:hanging="354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6"/>
        <w:szCs w:val="26"/>
      </w:rPr>
    </w:lvl>
    <w:lvl w:ilvl="3" w:tplc="AF200C44">
      <w:numFmt w:val="bullet"/>
      <w:lvlText w:val="•"/>
      <w:lvlJc w:val="left"/>
      <w:pPr>
        <w:ind w:left="2100" w:hanging="354"/>
      </w:pPr>
      <w:rPr>
        <w:rFonts w:hint="default"/>
      </w:rPr>
    </w:lvl>
    <w:lvl w:ilvl="4" w:tplc="D1E249A4">
      <w:numFmt w:val="bullet"/>
      <w:lvlText w:val="•"/>
      <w:lvlJc w:val="left"/>
      <w:pPr>
        <w:ind w:left="3311" w:hanging="354"/>
      </w:pPr>
      <w:rPr>
        <w:rFonts w:hint="default"/>
      </w:rPr>
    </w:lvl>
    <w:lvl w:ilvl="5" w:tplc="A02C4C24">
      <w:numFmt w:val="bullet"/>
      <w:lvlText w:val="•"/>
      <w:lvlJc w:val="left"/>
      <w:pPr>
        <w:ind w:left="4522" w:hanging="354"/>
      </w:pPr>
      <w:rPr>
        <w:rFonts w:hint="default"/>
      </w:rPr>
    </w:lvl>
    <w:lvl w:ilvl="6" w:tplc="68447200">
      <w:numFmt w:val="bullet"/>
      <w:lvlText w:val="•"/>
      <w:lvlJc w:val="left"/>
      <w:pPr>
        <w:ind w:left="5734" w:hanging="354"/>
      </w:pPr>
      <w:rPr>
        <w:rFonts w:hint="default"/>
      </w:rPr>
    </w:lvl>
    <w:lvl w:ilvl="7" w:tplc="0D3E4C92">
      <w:numFmt w:val="bullet"/>
      <w:lvlText w:val="•"/>
      <w:lvlJc w:val="left"/>
      <w:pPr>
        <w:ind w:left="6945" w:hanging="354"/>
      </w:pPr>
      <w:rPr>
        <w:rFonts w:hint="default"/>
      </w:rPr>
    </w:lvl>
    <w:lvl w:ilvl="8" w:tplc="DBF4B804">
      <w:numFmt w:val="bullet"/>
      <w:lvlText w:val="•"/>
      <w:lvlJc w:val="left"/>
      <w:pPr>
        <w:ind w:left="8157" w:hanging="354"/>
      </w:pPr>
      <w:rPr>
        <w:rFonts w:hint="default"/>
      </w:rPr>
    </w:lvl>
  </w:abstractNum>
  <w:abstractNum w:abstractNumId="16" w15:restartNumberingAfterBreak="0">
    <w:nsid w:val="439D2ED3"/>
    <w:multiLevelType w:val="hybridMultilevel"/>
    <w:tmpl w:val="2A8E0EB0"/>
    <w:lvl w:ilvl="0" w:tplc="BE321F20">
      <w:start w:val="1"/>
      <w:numFmt w:val="lowerLetter"/>
      <w:lvlText w:val="(%1)"/>
      <w:lvlJc w:val="left"/>
      <w:pPr>
        <w:ind w:left="1562" w:hanging="404"/>
        <w:jc w:val="right"/>
      </w:pPr>
      <w:rPr>
        <w:rFonts w:hint="default"/>
        <w:w w:val="99"/>
      </w:rPr>
    </w:lvl>
    <w:lvl w:ilvl="1" w:tplc="751E8686">
      <w:start w:val="1"/>
      <w:numFmt w:val="decimal"/>
      <w:lvlText w:val="(%2)"/>
      <w:lvlJc w:val="left"/>
      <w:pPr>
        <w:ind w:left="1739" w:hanging="349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8"/>
        <w:szCs w:val="28"/>
      </w:rPr>
    </w:lvl>
    <w:lvl w:ilvl="2" w:tplc="57A23FE0">
      <w:numFmt w:val="bullet"/>
      <w:lvlText w:val="•"/>
      <w:lvlJc w:val="left"/>
      <w:pPr>
        <w:ind w:left="2722" w:hanging="349"/>
      </w:pPr>
      <w:rPr>
        <w:rFonts w:hint="default"/>
      </w:rPr>
    </w:lvl>
    <w:lvl w:ilvl="3" w:tplc="C9963828">
      <w:numFmt w:val="bullet"/>
      <w:lvlText w:val="•"/>
      <w:lvlJc w:val="left"/>
      <w:pPr>
        <w:ind w:left="3704" w:hanging="349"/>
      </w:pPr>
      <w:rPr>
        <w:rFonts w:hint="default"/>
      </w:rPr>
    </w:lvl>
    <w:lvl w:ilvl="4" w:tplc="B3F095B4">
      <w:numFmt w:val="bullet"/>
      <w:lvlText w:val="•"/>
      <w:lvlJc w:val="left"/>
      <w:pPr>
        <w:ind w:left="4686" w:hanging="349"/>
      </w:pPr>
      <w:rPr>
        <w:rFonts w:hint="default"/>
      </w:rPr>
    </w:lvl>
    <w:lvl w:ilvl="5" w:tplc="BEE25906">
      <w:numFmt w:val="bullet"/>
      <w:lvlText w:val="•"/>
      <w:lvlJc w:val="left"/>
      <w:pPr>
        <w:ind w:left="5668" w:hanging="349"/>
      </w:pPr>
      <w:rPr>
        <w:rFonts w:hint="default"/>
      </w:rPr>
    </w:lvl>
    <w:lvl w:ilvl="6" w:tplc="C86AFDEE">
      <w:numFmt w:val="bullet"/>
      <w:lvlText w:val="•"/>
      <w:lvlJc w:val="left"/>
      <w:pPr>
        <w:ind w:left="6651" w:hanging="349"/>
      </w:pPr>
      <w:rPr>
        <w:rFonts w:hint="default"/>
      </w:rPr>
    </w:lvl>
    <w:lvl w:ilvl="7" w:tplc="26340DA4">
      <w:numFmt w:val="bullet"/>
      <w:lvlText w:val="•"/>
      <w:lvlJc w:val="left"/>
      <w:pPr>
        <w:ind w:left="7633" w:hanging="349"/>
      </w:pPr>
      <w:rPr>
        <w:rFonts w:hint="default"/>
      </w:rPr>
    </w:lvl>
    <w:lvl w:ilvl="8" w:tplc="8A7401B4">
      <w:numFmt w:val="bullet"/>
      <w:lvlText w:val="•"/>
      <w:lvlJc w:val="left"/>
      <w:pPr>
        <w:ind w:left="8615" w:hanging="349"/>
      </w:pPr>
      <w:rPr>
        <w:rFonts w:hint="default"/>
      </w:rPr>
    </w:lvl>
  </w:abstractNum>
  <w:abstractNum w:abstractNumId="17" w15:restartNumberingAfterBreak="0">
    <w:nsid w:val="5632030A"/>
    <w:multiLevelType w:val="hybridMultilevel"/>
    <w:tmpl w:val="6694C62E"/>
    <w:lvl w:ilvl="0" w:tplc="7898BB6A">
      <w:start w:val="2"/>
      <w:numFmt w:val="lowerLetter"/>
      <w:lvlText w:val="(%1)"/>
      <w:lvlJc w:val="left"/>
      <w:pPr>
        <w:ind w:left="1374" w:hanging="355"/>
      </w:pPr>
      <w:rPr>
        <w:rFonts w:ascii="Garamond" w:eastAsia="Garamond" w:hAnsi="Garamond" w:cs="Garamond" w:hint="default"/>
        <w:b/>
        <w:bCs/>
        <w:i w:val="0"/>
        <w:iCs w:val="0"/>
        <w:w w:val="99"/>
        <w:sz w:val="26"/>
        <w:szCs w:val="26"/>
      </w:rPr>
    </w:lvl>
    <w:lvl w:ilvl="1" w:tplc="8B2A3FAC">
      <w:start w:val="1"/>
      <w:numFmt w:val="decimal"/>
      <w:lvlText w:val="(%2)"/>
      <w:lvlJc w:val="left"/>
      <w:pPr>
        <w:ind w:left="1020" w:hanging="296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2" w:tplc="FE884334">
      <w:numFmt w:val="bullet"/>
      <w:lvlText w:val="•"/>
      <w:lvlJc w:val="left"/>
      <w:pPr>
        <w:ind w:left="2402" w:hanging="296"/>
      </w:pPr>
      <w:rPr>
        <w:rFonts w:hint="default"/>
      </w:rPr>
    </w:lvl>
    <w:lvl w:ilvl="3" w:tplc="8A72AC9A">
      <w:numFmt w:val="bullet"/>
      <w:lvlText w:val="•"/>
      <w:lvlJc w:val="left"/>
      <w:pPr>
        <w:ind w:left="3424" w:hanging="296"/>
      </w:pPr>
      <w:rPr>
        <w:rFonts w:hint="default"/>
      </w:rPr>
    </w:lvl>
    <w:lvl w:ilvl="4" w:tplc="2354950C">
      <w:numFmt w:val="bullet"/>
      <w:lvlText w:val="•"/>
      <w:lvlJc w:val="left"/>
      <w:pPr>
        <w:ind w:left="4446" w:hanging="296"/>
      </w:pPr>
      <w:rPr>
        <w:rFonts w:hint="default"/>
      </w:rPr>
    </w:lvl>
    <w:lvl w:ilvl="5" w:tplc="76D2D2BC">
      <w:numFmt w:val="bullet"/>
      <w:lvlText w:val="•"/>
      <w:lvlJc w:val="left"/>
      <w:pPr>
        <w:ind w:left="5468" w:hanging="296"/>
      </w:pPr>
      <w:rPr>
        <w:rFonts w:hint="default"/>
      </w:rPr>
    </w:lvl>
    <w:lvl w:ilvl="6" w:tplc="2BC6A834">
      <w:numFmt w:val="bullet"/>
      <w:lvlText w:val="•"/>
      <w:lvlJc w:val="left"/>
      <w:pPr>
        <w:ind w:left="6491" w:hanging="296"/>
      </w:pPr>
      <w:rPr>
        <w:rFonts w:hint="default"/>
      </w:rPr>
    </w:lvl>
    <w:lvl w:ilvl="7" w:tplc="4A82AFFA">
      <w:numFmt w:val="bullet"/>
      <w:lvlText w:val="•"/>
      <w:lvlJc w:val="left"/>
      <w:pPr>
        <w:ind w:left="7513" w:hanging="296"/>
      </w:pPr>
      <w:rPr>
        <w:rFonts w:hint="default"/>
      </w:rPr>
    </w:lvl>
    <w:lvl w:ilvl="8" w:tplc="A17813DA">
      <w:numFmt w:val="bullet"/>
      <w:lvlText w:val="•"/>
      <w:lvlJc w:val="left"/>
      <w:pPr>
        <w:ind w:left="8535" w:hanging="296"/>
      </w:pPr>
      <w:rPr>
        <w:rFonts w:hint="default"/>
      </w:rPr>
    </w:lvl>
  </w:abstractNum>
  <w:abstractNum w:abstractNumId="18" w15:restartNumberingAfterBreak="0">
    <w:nsid w:val="592A5DA3"/>
    <w:multiLevelType w:val="hybridMultilevel"/>
    <w:tmpl w:val="08DC3D76"/>
    <w:lvl w:ilvl="0" w:tplc="35660550">
      <w:start w:val="1"/>
      <w:numFmt w:val="decimal"/>
      <w:lvlText w:val="(%1)"/>
      <w:lvlJc w:val="left"/>
      <w:pPr>
        <w:ind w:left="1020" w:hanging="296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1" w:tplc="30F22AD4">
      <w:numFmt w:val="bullet"/>
      <w:lvlText w:val="•"/>
      <w:lvlJc w:val="left"/>
      <w:pPr>
        <w:ind w:left="1976" w:hanging="296"/>
      </w:pPr>
      <w:rPr>
        <w:rFonts w:hint="default"/>
      </w:rPr>
    </w:lvl>
    <w:lvl w:ilvl="2" w:tplc="93640532">
      <w:numFmt w:val="bullet"/>
      <w:lvlText w:val="•"/>
      <w:lvlJc w:val="left"/>
      <w:pPr>
        <w:ind w:left="2932" w:hanging="296"/>
      </w:pPr>
      <w:rPr>
        <w:rFonts w:hint="default"/>
      </w:rPr>
    </w:lvl>
    <w:lvl w:ilvl="3" w:tplc="C082D330">
      <w:numFmt w:val="bullet"/>
      <w:lvlText w:val="•"/>
      <w:lvlJc w:val="left"/>
      <w:pPr>
        <w:ind w:left="3888" w:hanging="296"/>
      </w:pPr>
      <w:rPr>
        <w:rFonts w:hint="default"/>
      </w:rPr>
    </w:lvl>
    <w:lvl w:ilvl="4" w:tplc="901ABF9A">
      <w:numFmt w:val="bullet"/>
      <w:lvlText w:val="•"/>
      <w:lvlJc w:val="left"/>
      <w:pPr>
        <w:ind w:left="4844" w:hanging="296"/>
      </w:pPr>
      <w:rPr>
        <w:rFonts w:hint="default"/>
      </w:rPr>
    </w:lvl>
    <w:lvl w:ilvl="5" w:tplc="2EBE9BB8">
      <w:numFmt w:val="bullet"/>
      <w:lvlText w:val="•"/>
      <w:lvlJc w:val="left"/>
      <w:pPr>
        <w:ind w:left="5800" w:hanging="296"/>
      </w:pPr>
      <w:rPr>
        <w:rFonts w:hint="default"/>
      </w:rPr>
    </w:lvl>
    <w:lvl w:ilvl="6" w:tplc="525C0666">
      <w:numFmt w:val="bullet"/>
      <w:lvlText w:val="•"/>
      <w:lvlJc w:val="left"/>
      <w:pPr>
        <w:ind w:left="6756" w:hanging="296"/>
      </w:pPr>
      <w:rPr>
        <w:rFonts w:hint="default"/>
      </w:rPr>
    </w:lvl>
    <w:lvl w:ilvl="7" w:tplc="C81C8740">
      <w:numFmt w:val="bullet"/>
      <w:lvlText w:val="•"/>
      <w:lvlJc w:val="left"/>
      <w:pPr>
        <w:ind w:left="7712" w:hanging="296"/>
      </w:pPr>
      <w:rPr>
        <w:rFonts w:hint="default"/>
      </w:rPr>
    </w:lvl>
    <w:lvl w:ilvl="8" w:tplc="42088122">
      <w:numFmt w:val="bullet"/>
      <w:lvlText w:val="•"/>
      <w:lvlJc w:val="left"/>
      <w:pPr>
        <w:ind w:left="8668" w:hanging="296"/>
      </w:pPr>
      <w:rPr>
        <w:rFonts w:hint="default"/>
      </w:rPr>
    </w:lvl>
  </w:abstractNum>
  <w:abstractNum w:abstractNumId="19" w15:restartNumberingAfterBreak="0">
    <w:nsid w:val="59FF4EC6"/>
    <w:multiLevelType w:val="hybridMultilevel"/>
    <w:tmpl w:val="777C4818"/>
    <w:lvl w:ilvl="0" w:tplc="504A77BC">
      <w:start w:val="2"/>
      <w:numFmt w:val="lowerLetter"/>
      <w:lvlText w:val="(%1)"/>
      <w:lvlJc w:val="left"/>
      <w:pPr>
        <w:ind w:left="1374" w:hanging="355"/>
      </w:pPr>
      <w:rPr>
        <w:rFonts w:ascii="Garamond" w:eastAsia="Garamond" w:hAnsi="Garamond" w:cs="Garamond" w:hint="default"/>
        <w:b/>
        <w:bCs/>
        <w:i w:val="0"/>
        <w:iCs w:val="0"/>
        <w:w w:val="99"/>
        <w:sz w:val="26"/>
        <w:szCs w:val="26"/>
      </w:rPr>
    </w:lvl>
    <w:lvl w:ilvl="1" w:tplc="E368D12E">
      <w:start w:val="1"/>
      <w:numFmt w:val="decimal"/>
      <w:lvlText w:val="(%2)"/>
      <w:lvlJc w:val="left"/>
      <w:pPr>
        <w:ind w:left="1020" w:hanging="296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2" w:tplc="7C3EE03C">
      <w:numFmt w:val="bullet"/>
      <w:lvlText w:val="•"/>
      <w:lvlJc w:val="left"/>
      <w:pPr>
        <w:ind w:left="2402" w:hanging="296"/>
      </w:pPr>
      <w:rPr>
        <w:rFonts w:hint="default"/>
      </w:rPr>
    </w:lvl>
    <w:lvl w:ilvl="3" w:tplc="18245F8A">
      <w:numFmt w:val="bullet"/>
      <w:lvlText w:val="•"/>
      <w:lvlJc w:val="left"/>
      <w:pPr>
        <w:ind w:left="3424" w:hanging="296"/>
      </w:pPr>
      <w:rPr>
        <w:rFonts w:hint="default"/>
      </w:rPr>
    </w:lvl>
    <w:lvl w:ilvl="4" w:tplc="9A0C29CA">
      <w:numFmt w:val="bullet"/>
      <w:lvlText w:val="•"/>
      <w:lvlJc w:val="left"/>
      <w:pPr>
        <w:ind w:left="4446" w:hanging="296"/>
      </w:pPr>
      <w:rPr>
        <w:rFonts w:hint="default"/>
      </w:rPr>
    </w:lvl>
    <w:lvl w:ilvl="5" w:tplc="A6A6A8B6">
      <w:numFmt w:val="bullet"/>
      <w:lvlText w:val="•"/>
      <w:lvlJc w:val="left"/>
      <w:pPr>
        <w:ind w:left="5468" w:hanging="296"/>
      </w:pPr>
      <w:rPr>
        <w:rFonts w:hint="default"/>
      </w:rPr>
    </w:lvl>
    <w:lvl w:ilvl="6" w:tplc="D3CAA492">
      <w:numFmt w:val="bullet"/>
      <w:lvlText w:val="•"/>
      <w:lvlJc w:val="left"/>
      <w:pPr>
        <w:ind w:left="6491" w:hanging="296"/>
      </w:pPr>
      <w:rPr>
        <w:rFonts w:hint="default"/>
      </w:rPr>
    </w:lvl>
    <w:lvl w:ilvl="7" w:tplc="0ECE6A0E">
      <w:numFmt w:val="bullet"/>
      <w:lvlText w:val="•"/>
      <w:lvlJc w:val="left"/>
      <w:pPr>
        <w:ind w:left="7513" w:hanging="296"/>
      </w:pPr>
      <w:rPr>
        <w:rFonts w:hint="default"/>
      </w:rPr>
    </w:lvl>
    <w:lvl w:ilvl="8" w:tplc="3496D2C6">
      <w:numFmt w:val="bullet"/>
      <w:lvlText w:val="•"/>
      <w:lvlJc w:val="left"/>
      <w:pPr>
        <w:ind w:left="8535" w:hanging="296"/>
      </w:pPr>
      <w:rPr>
        <w:rFonts w:hint="default"/>
      </w:rPr>
    </w:lvl>
  </w:abstractNum>
  <w:abstractNum w:abstractNumId="20" w15:restartNumberingAfterBreak="0">
    <w:nsid w:val="5BB328A6"/>
    <w:multiLevelType w:val="hybridMultilevel"/>
    <w:tmpl w:val="6520D818"/>
    <w:lvl w:ilvl="0" w:tplc="B96AA1F2">
      <w:start w:val="1"/>
      <w:numFmt w:val="upperRoman"/>
      <w:lvlText w:val="%1."/>
      <w:lvlJc w:val="left"/>
      <w:pPr>
        <w:ind w:left="1740" w:hanging="432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8"/>
        <w:szCs w:val="28"/>
      </w:rPr>
    </w:lvl>
    <w:lvl w:ilvl="1" w:tplc="3F46D91C">
      <w:numFmt w:val="bullet"/>
      <w:lvlText w:val="•"/>
      <w:lvlJc w:val="left"/>
      <w:pPr>
        <w:ind w:left="2624" w:hanging="432"/>
      </w:pPr>
      <w:rPr>
        <w:rFonts w:hint="default"/>
      </w:rPr>
    </w:lvl>
    <w:lvl w:ilvl="2" w:tplc="8AB6D30C">
      <w:numFmt w:val="bullet"/>
      <w:lvlText w:val="•"/>
      <w:lvlJc w:val="left"/>
      <w:pPr>
        <w:ind w:left="3508" w:hanging="432"/>
      </w:pPr>
      <w:rPr>
        <w:rFonts w:hint="default"/>
      </w:rPr>
    </w:lvl>
    <w:lvl w:ilvl="3" w:tplc="2E782FD6">
      <w:numFmt w:val="bullet"/>
      <w:lvlText w:val="•"/>
      <w:lvlJc w:val="left"/>
      <w:pPr>
        <w:ind w:left="4392" w:hanging="432"/>
      </w:pPr>
      <w:rPr>
        <w:rFonts w:hint="default"/>
      </w:rPr>
    </w:lvl>
    <w:lvl w:ilvl="4" w:tplc="AAFC1930">
      <w:numFmt w:val="bullet"/>
      <w:lvlText w:val="•"/>
      <w:lvlJc w:val="left"/>
      <w:pPr>
        <w:ind w:left="5276" w:hanging="432"/>
      </w:pPr>
      <w:rPr>
        <w:rFonts w:hint="default"/>
      </w:rPr>
    </w:lvl>
    <w:lvl w:ilvl="5" w:tplc="86061B68">
      <w:numFmt w:val="bullet"/>
      <w:lvlText w:val="•"/>
      <w:lvlJc w:val="left"/>
      <w:pPr>
        <w:ind w:left="6160" w:hanging="432"/>
      </w:pPr>
      <w:rPr>
        <w:rFonts w:hint="default"/>
      </w:rPr>
    </w:lvl>
    <w:lvl w:ilvl="6" w:tplc="EBC6CBB6">
      <w:numFmt w:val="bullet"/>
      <w:lvlText w:val="•"/>
      <w:lvlJc w:val="left"/>
      <w:pPr>
        <w:ind w:left="7044" w:hanging="432"/>
      </w:pPr>
      <w:rPr>
        <w:rFonts w:hint="default"/>
      </w:rPr>
    </w:lvl>
    <w:lvl w:ilvl="7" w:tplc="813A2F38">
      <w:numFmt w:val="bullet"/>
      <w:lvlText w:val="•"/>
      <w:lvlJc w:val="left"/>
      <w:pPr>
        <w:ind w:left="7928" w:hanging="432"/>
      </w:pPr>
      <w:rPr>
        <w:rFonts w:hint="default"/>
      </w:rPr>
    </w:lvl>
    <w:lvl w:ilvl="8" w:tplc="D8749150">
      <w:numFmt w:val="bullet"/>
      <w:lvlText w:val="•"/>
      <w:lvlJc w:val="left"/>
      <w:pPr>
        <w:ind w:left="8812" w:hanging="432"/>
      </w:pPr>
      <w:rPr>
        <w:rFonts w:hint="default"/>
      </w:rPr>
    </w:lvl>
  </w:abstractNum>
  <w:abstractNum w:abstractNumId="21" w15:restartNumberingAfterBreak="0">
    <w:nsid w:val="62AF1D1E"/>
    <w:multiLevelType w:val="multilevel"/>
    <w:tmpl w:val="73EA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B203BD"/>
    <w:multiLevelType w:val="hybridMultilevel"/>
    <w:tmpl w:val="389C0B82"/>
    <w:lvl w:ilvl="0" w:tplc="B67090FA">
      <w:start w:val="1"/>
      <w:numFmt w:val="decimal"/>
      <w:lvlText w:val="(%1)"/>
      <w:lvlJc w:val="left"/>
      <w:pPr>
        <w:ind w:left="1158" w:hanging="295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1" w:tplc="54D262F6">
      <w:numFmt w:val="bullet"/>
      <w:lvlText w:val="•"/>
      <w:lvlJc w:val="left"/>
      <w:pPr>
        <w:ind w:left="2102" w:hanging="295"/>
      </w:pPr>
      <w:rPr>
        <w:rFonts w:hint="default"/>
      </w:rPr>
    </w:lvl>
    <w:lvl w:ilvl="2" w:tplc="F8068E40">
      <w:numFmt w:val="bullet"/>
      <w:lvlText w:val="•"/>
      <w:lvlJc w:val="left"/>
      <w:pPr>
        <w:ind w:left="3044" w:hanging="295"/>
      </w:pPr>
      <w:rPr>
        <w:rFonts w:hint="default"/>
      </w:rPr>
    </w:lvl>
    <w:lvl w:ilvl="3" w:tplc="A000B122">
      <w:numFmt w:val="bullet"/>
      <w:lvlText w:val="•"/>
      <w:lvlJc w:val="left"/>
      <w:pPr>
        <w:ind w:left="3986" w:hanging="295"/>
      </w:pPr>
      <w:rPr>
        <w:rFonts w:hint="default"/>
      </w:rPr>
    </w:lvl>
    <w:lvl w:ilvl="4" w:tplc="1B0E7044">
      <w:numFmt w:val="bullet"/>
      <w:lvlText w:val="•"/>
      <w:lvlJc w:val="left"/>
      <w:pPr>
        <w:ind w:left="4928" w:hanging="295"/>
      </w:pPr>
      <w:rPr>
        <w:rFonts w:hint="default"/>
      </w:rPr>
    </w:lvl>
    <w:lvl w:ilvl="5" w:tplc="56DA7E70">
      <w:numFmt w:val="bullet"/>
      <w:lvlText w:val="•"/>
      <w:lvlJc w:val="left"/>
      <w:pPr>
        <w:ind w:left="5870" w:hanging="295"/>
      </w:pPr>
      <w:rPr>
        <w:rFonts w:hint="default"/>
      </w:rPr>
    </w:lvl>
    <w:lvl w:ilvl="6" w:tplc="25AED804">
      <w:numFmt w:val="bullet"/>
      <w:lvlText w:val="•"/>
      <w:lvlJc w:val="left"/>
      <w:pPr>
        <w:ind w:left="6812" w:hanging="295"/>
      </w:pPr>
      <w:rPr>
        <w:rFonts w:hint="default"/>
      </w:rPr>
    </w:lvl>
    <w:lvl w:ilvl="7" w:tplc="B302C9FE">
      <w:numFmt w:val="bullet"/>
      <w:lvlText w:val="•"/>
      <w:lvlJc w:val="left"/>
      <w:pPr>
        <w:ind w:left="7754" w:hanging="295"/>
      </w:pPr>
      <w:rPr>
        <w:rFonts w:hint="default"/>
      </w:rPr>
    </w:lvl>
    <w:lvl w:ilvl="8" w:tplc="8B0E211A">
      <w:numFmt w:val="bullet"/>
      <w:lvlText w:val="•"/>
      <w:lvlJc w:val="left"/>
      <w:pPr>
        <w:ind w:left="8696" w:hanging="295"/>
      </w:pPr>
      <w:rPr>
        <w:rFonts w:hint="default"/>
      </w:rPr>
    </w:lvl>
  </w:abstractNum>
  <w:abstractNum w:abstractNumId="23" w15:restartNumberingAfterBreak="0">
    <w:nsid w:val="7412335A"/>
    <w:multiLevelType w:val="hybridMultilevel"/>
    <w:tmpl w:val="06125C64"/>
    <w:lvl w:ilvl="0" w:tplc="E172888E">
      <w:start w:val="1"/>
      <w:numFmt w:val="upperLetter"/>
      <w:pStyle w:val="TOC3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DC4FF3"/>
    <w:multiLevelType w:val="hybridMultilevel"/>
    <w:tmpl w:val="A9C6A956"/>
    <w:lvl w:ilvl="0" w:tplc="67E07A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260DA6"/>
    <w:multiLevelType w:val="hybridMultilevel"/>
    <w:tmpl w:val="BB4033A4"/>
    <w:lvl w:ilvl="0" w:tplc="66D6A3DA">
      <w:start w:val="2"/>
      <w:numFmt w:val="upperLetter"/>
      <w:lvlText w:val="(%1)"/>
      <w:lvlJc w:val="left"/>
      <w:pPr>
        <w:ind w:left="1020" w:hanging="336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1" w:tplc="7338CB40">
      <w:start w:val="2"/>
      <w:numFmt w:val="upperLetter"/>
      <w:lvlText w:val="(%2)"/>
      <w:lvlJc w:val="left"/>
      <w:pPr>
        <w:ind w:left="2796" w:hanging="336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2" w:tplc="E0ACB798">
      <w:start w:val="1"/>
      <w:numFmt w:val="lowerRoman"/>
      <w:lvlText w:val="(%3)"/>
      <w:lvlJc w:val="left"/>
      <w:pPr>
        <w:ind w:left="3180" w:hanging="228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99"/>
        <w:sz w:val="26"/>
        <w:szCs w:val="26"/>
      </w:rPr>
    </w:lvl>
    <w:lvl w:ilvl="3" w:tplc="F6C0A86C">
      <w:numFmt w:val="bullet"/>
      <w:lvlText w:val="•"/>
      <w:lvlJc w:val="left"/>
      <w:pPr>
        <w:ind w:left="4105" w:hanging="228"/>
      </w:pPr>
      <w:rPr>
        <w:rFonts w:hint="default"/>
      </w:rPr>
    </w:lvl>
    <w:lvl w:ilvl="4" w:tplc="E53E3482">
      <w:numFmt w:val="bullet"/>
      <w:lvlText w:val="•"/>
      <w:lvlJc w:val="left"/>
      <w:pPr>
        <w:ind w:left="5030" w:hanging="228"/>
      </w:pPr>
      <w:rPr>
        <w:rFonts w:hint="default"/>
      </w:rPr>
    </w:lvl>
    <w:lvl w:ilvl="5" w:tplc="E9202D44">
      <w:numFmt w:val="bullet"/>
      <w:lvlText w:val="•"/>
      <w:lvlJc w:val="left"/>
      <w:pPr>
        <w:ind w:left="5955" w:hanging="228"/>
      </w:pPr>
      <w:rPr>
        <w:rFonts w:hint="default"/>
      </w:rPr>
    </w:lvl>
    <w:lvl w:ilvl="6" w:tplc="112AD800">
      <w:numFmt w:val="bullet"/>
      <w:lvlText w:val="•"/>
      <w:lvlJc w:val="left"/>
      <w:pPr>
        <w:ind w:left="6880" w:hanging="228"/>
      </w:pPr>
      <w:rPr>
        <w:rFonts w:hint="default"/>
      </w:rPr>
    </w:lvl>
    <w:lvl w:ilvl="7" w:tplc="0728F3C0">
      <w:numFmt w:val="bullet"/>
      <w:lvlText w:val="•"/>
      <w:lvlJc w:val="left"/>
      <w:pPr>
        <w:ind w:left="7805" w:hanging="228"/>
      </w:pPr>
      <w:rPr>
        <w:rFonts w:hint="default"/>
      </w:rPr>
    </w:lvl>
    <w:lvl w:ilvl="8" w:tplc="BB4CD862">
      <w:numFmt w:val="bullet"/>
      <w:lvlText w:val="•"/>
      <w:lvlJc w:val="left"/>
      <w:pPr>
        <w:ind w:left="8730" w:hanging="228"/>
      </w:pPr>
      <w:rPr>
        <w:rFonts w:hint="default"/>
      </w:rPr>
    </w:lvl>
  </w:abstractNum>
  <w:num w:numId="1" w16cid:durableId="1155101017">
    <w:abstractNumId w:val="22"/>
  </w:num>
  <w:num w:numId="2" w16cid:durableId="1104307186">
    <w:abstractNumId w:val="6"/>
  </w:num>
  <w:num w:numId="3" w16cid:durableId="1541555789">
    <w:abstractNumId w:val="13"/>
  </w:num>
  <w:num w:numId="4" w16cid:durableId="2033412090">
    <w:abstractNumId w:val="11"/>
  </w:num>
  <w:num w:numId="5" w16cid:durableId="265966077">
    <w:abstractNumId w:val="16"/>
  </w:num>
  <w:num w:numId="6" w16cid:durableId="276839791">
    <w:abstractNumId w:val="19"/>
  </w:num>
  <w:num w:numId="7" w16cid:durableId="1520122916">
    <w:abstractNumId w:val="18"/>
  </w:num>
  <w:num w:numId="8" w16cid:durableId="843590305">
    <w:abstractNumId w:val="14"/>
  </w:num>
  <w:num w:numId="9" w16cid:durableId="1997102858">
    <w:abstractNumId w:val="12"/>
  </w:num>
  <w:num w:numId="10" w16cid:durableId="5374573">
    <w:abstractNumId w:val="10"/>
  </w:num>
  <w:num w:numId="11" w16cid:durableId="1928031845">
    <w:abstractNumId w:val="15"/>
  </w:num>
  <w:num w:numId="12" w16cid:durableId="1858154154">
    <w:abstractNumId w:val="25"/>
  </w:num>
  <w:num w:numId="13" w16cid:durableId="1933971572">
    <w:abstractNumId w:val="17"/>
  </w:num>
  <w:num w:numId="14" w16cid:durableId="1332835331">
    <w:abstractNumId w:val="1"/>
  </w:num>
  <w:num w:numId="15" w16cid:durableId="1841658642">
    <w:abstractNumId w:val="2"/>
  </w:num>
  <w:num w:numId="16" w16cid:durableId="1250769858">
    <w:abstractNumId w:val="3"/>
  </w:num>
  <w:num w:numId="17" w16cid:durableId="1091006372">
    <w:abstractNumId w:val="20"/>
  </w:num>
  <w:num w:numId="18" w16cid:durableId="590430171">
    <w:abstractNumId w:val="5"/>
  </w:num>
  <w:num w:numId="19" w16cid:durableId="676423070">
    <w:abstractNumId w:val="0"/>
  </w:num>
  <w:num w:numId="20" w16cid:durableId="639698968">
    <w:abstractNumId w:val="9"/>
  </w:num>
  <w:num w:numId="21" w16cid:durableId="1201624408">
    <w:abstractNumId w:val="4"/>
  </w:num>
  <w:num w:numId="22" w16cid:durableId="1207713746">
    <w:abstractNumId w:val="8"/>
  </w:num>
  <w:num w:numId="23" w16cid:durableId="1828276326">
    <w:abstractNumId w:val="24"/>
  </w:num>
  <w:num w:numId="24" w16cid:durableId="44530776">
    <w:abstractNumId w:val="23"/>
  </w:num>
  <w:num w:numId="25" w16cid:durableId="370568548">
    <w:abstractNumId w:val="7"/>
  </w:num>
  <w:num w:numId="26" w16cid:durableId="9126168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6C"/>
    <w:rsid w:val="00000CAC"/>
    <w:rsid w:val="00005257"/>
    <w:rsid w:val="00011887"/>
    <w:rsid w:val="00011D76"/>
    <w:rsid w:val="00012CDA"/>
    <w:rsid w:val="0001316C"/>
    <w:rsid w:val="00013496"/>
    <w:rsid w:val="00013FC4"/>
    <w:rsid w:val="0001518B"/>
    <w:rsid w:val="00024649"/>
    <w:rsid w:val="00026775"/>
    <w:rsid w:val="00030075"/>
    <w:rsid w:val="00032DD4"/>
    <w:rsid w:val="0003438D"/>
    <w:rsid w:val="0003772F"/>
    <w:rsid w:val="000402A2"/>
    <w:rsid w:val="00042424"/>
    <w:rsid w:val="000431C2"/>
    <w:rsid w:val="00052D55"/>
    <w:rsid w:val="00053824"/>
    <w:rsid w:val="000576A5"/>
    <w:rsid w:val="00057A57"/>
    <w:rsid w:val="00060E29"/>
    <w:rsid w:val="000654F7"/>
    <w:rsid w:val="00076D13"/>
    <w:rsid w:val="0009046B"/>
    <w:rsid w:val="00091476"/>
    <w:rsid w:val="00091BC2"/>
    <w:rsid w:val="00093D96"/>
    <w:rsid w:val="00094DC4"/>
    <w:rsid w:val="000A0919"/>
    <w:rsid w:val="000A27AD"/>
    <w:rsid w:val="000A5E0A"/>
    <w:rsid w:val="000A73D1"/>
    <w:rsid w:val="000B30DD"/>
    <w:rsid w:val="000B362C"/>
    <w:rsid w:val="000B6884"/>
    <w:rsid w:val="000B7008"/>
    <w:rsid w:val="000C1DDD"/>
    <w:rsid w:val="000C22E1"/>
    <w:rsid w:val="000C6381"/>
    <w:rsid w:val="000D091C"/>
    <w:rsid w:val="000D13B4"/>
    <w:rsid w:val="000D72BF"/>
    <w:rsid w:val="000E03B9"/>
    <w:rsid w:val="000E50EB"/>
    <w:rsid w:val="000E77C5"/>
    <w:rsid w:val="000F147E"/>
    <w:rsid w:val="000F3C1F"/>
    <w:rsid w:val="000F4AB8"/>
    <w:rsid w:val="000F5357"/>
    <w:rsid w:val="000F5F8F"/>
    <w:rsid w:val="0010056D"/>
    <w:rsid w:val="00100C89"/>
    <w:rsid w:val="00101A53"/>
    <w:rsid w:val="001030F9"/>
    <w:rsid w:val="001035E4"/>
    <w:rsid w:val="00104C2B"/>
    <w:rsid w:val="00106481"/>
    <w:rsid w:val="001065B8"/>
    <w:rsid w:val="001078AE"/>
    <w:rsid w:val="00113575"/>
    <w:rsid w:val="001167B9"/>
    <w:rsid w:val="00123B52"/>
    <w:rsid w:val="00126804"/>
    <w:rsid w:val="001304A8"/>
    <w:rsid w:val="00130F53"/>
    <w:rsid w:val="00134CF5"/>
    <w:rsid w:val="00136336"/>
    <w:rsid w:val="001416A1"/>
    <w:rsid w:val="00142DC7"/>
    <w:rsid w:val="00145BEB"/>
    <w:rsid w:val="00145EC2"/>
    <w:rsid w:val="00151408"/>
    <w:rsid w:val="0015193D"/>
    <w:rsid w:val="00152358"/>
    <w:rsid w:val="0015276D"/>
    <w:rsid w:val="001559E2"/>
    <w:rsid w:val="00155F2C"/>
    <w:rsid w:val="00162F13"/>
    <w:rsid w:val="0016338D"/>
    <w:rsid w:val="001661B7"/>
    <w:rsid w:val="001673B4"/>
    <w:rsid w:val="00171002"/>
    <w:rsid w:val="0017421E"/>
    <w:rsid w:val="001771F1"/>
    <w:rsid w:val="001829E4"/>
    <w:rsid w:val="00185682"/>
    <w:rsid w:val="001A13E4"/>
    <w:rsid w:val="001A5881"/>
    <w:rsid w:val="001A5B7A"/>
    <w:rsid w:val="001B0AC7"/>
    <w:rsid w:val="001B529D"/>
    <w:rsid w:val="001B535E"/>
    <w:rsid w:val="001C0CB4"/>
    <w:rsid w:val="001C5257"/>
    <w:rsid w:val="001C561F"/>
    <w:rsid w:val="001C6EED"/>
    <w:rsid w:val="001C770A"/>
    <w:rsid w:val="001D2AE1"/>
    <w:rsid w:val="001D3A19"/>
    <w:rsid w:val="001D7808"/>
    <w:rsid w:val="001E2B38"/>
    <w:rsid w:val="001E3991"/>
    <w:rsid w:val="001E4D0D"/>
    <w:rsid w:val="001E59A6"/>
    <w:rsid w:val="001E5F47"/>
    <w:rsid w:val="001E612B"/>
    <w:rsid w:val="001E7C82"/>
    <w:rsid w:val="001F1CA7"/>
    <w:rsid w:val="001F4956"/>
    <w:rsid w:val="001F4AD9"/>
    <w:rsid w:val="001F62A7"/>
    <w:rsid w:val="002031F6"/>
    <w:rsid w:val="00204132"/>
    <w:rsid w:val="00205789"/>
    <w:rsid w:val="00210825"/>
    <w:rsid w:val="00211675"/>
    <w:rsid w:val="00211CAB"/>
    <w:rsid w:val="0021289A"/>
    <w:rsid w:val="00213690"/>
    <w:rsid w:val="00213B76"/>
    <w:rsid w:val="002200FF"/>
    <w:rsid w:val="00220ED0"/>
    <w:rsid w:val="002220AA"/>
    <w:rsid w:val="00222193"/>
    <w:rsid w:val="0022761A"/>
    <w:rsid w:val="00230132"/>
    <w:rsid w:val="00230742"/>
    <w:rsid w:val="002312AD"/>
    <w:rsid w:val="00232788"/>
    <w:rsid w:val="002372DF"/>
    <w:rsid w:val="002373EF"/>
    <w:rsid w:val="00237ABC"/>
    <w:rsid w:val="0024191A"/>
    <w:rsid w:val="002448CD"/>
    <w:rsid w:val="0024623F"/>
    <w:rsid w:val="00247695"/>
    <w:rsid w:val="00250AE7"/>
    <w:rsid w:val="00251F7F"/>
    <w:rsid w:val="00253B67"/>
    <w:rsid w:val="00254FE9"/>
    <w:rsid w:val="00255223"/>
    <w:rsid w:val="002572A2"/>
    <w:rsid w:val="00260869"/>
    <w:rsid w:val="00261102"/>
    <w:rsid w:val="0026162D"/>
    <w:rsid w:val="00261CD6"/>
    <w:rsid w:val="00263F41"/>
    <w:rsid w:val="002716FD"/>
    <w:rsid w:val="002763C3"/>
    <w:rsid w:val="00280B2F"/>
    <w:rsid w:val="00281AD0"/>
    <w:rsid w:val="002832DA"/>
    <w:rsid w:val="00290DF6"/>
    <w:rsid w:val="00294F07"/>
    <w:rsid w:val="00294FFD"/>
    <w:rsid w:val="002B2944"/>
    <w:rsid w:val="002B7C39"/>
    <w:rsid w:val="002C18E6"/>
    <w:rsid w:val="002C3762"/>
    <w:rsid w:val="002C4A54"/>
    <w:rsid w:val="002C506C"/>
    <w:rsid w:val="002D0282"/>
    <w:rsid w:val="002D37F5"/>
    <w:rsid w:val="002D5CBD"/>
    <w:rsid w:val="002D5E69"/>
    <w:rsid w:val="002E0792"/>
    <w:rsid w:val="002E1A15"/>
    <w:rsid w:val="002E2142"/>
    <w:rsid w:val="002E58A4"/>
    <w:rsid w:val="002F1CFA"/>
    <w:rsid w:val="002F297D"/>
    <w:rsid w:val="002F3B98"/>
    <w:rsid w:val="002F3E4B"/>
    <w:rsid w:val="002F6867"/>
    <w:rsid w:val="002F7587"/>
    <w:rsid w:val="00305701"/>
    <w:rsid w:val="00310E56"/>
    <w:rsid w:val="00315C63"/>
    <w:rsid w:val="0031746D"/>
    <w:rsid w:val="003178D7"/>
    <w:rsid w:val="00321FC9"/>
    <w:rsid w:val="00324533"/>
    <w:rsid w:val="0033246B"/>
    <w:rsid w:val="00332B56"/>
    <w:rsid w:val="00333ABF"/>
    <w:rsid w:val="00334E9A"/>
    <w:rsid w:val="00335868"/>
    <w:rsid w:val="00336808"/>
    <w:rsid w:val="00337384"/>
    <w:rsid w:val="00342CEC"/>
    <w:rsid w:val="00343BE9"/>
    <w:rsid w:val="00344DAE"/>
    <w:rsid w:val="003468BD"/>
    <w:rsid w:val="00350536"/>
    <w:rsid w:val="003519FB"/>
    <w:rsid w:val="003546E3"/>
    <w:rsid w:val="00361ACB"/>
    <w:rsid w:val="00362C57"/>
    <w:rsid w:val="00364079"/>
    <w:rsid w:val="003667F0"/>
    <w:rsid w:val="00375F29"/>
    <w:rsid w:val="00376E4A"/>
    <w:rsid w:val="003773C3"/>
    <w:rsid w:val="00384B02"/>
    <w:rsid w:val="00384E6A"/>
    <w:rsid w:val="003855A0"/>
    <w:rsid w:val="00386331"/>
    <w:rsid w:val="0039194B"/>
    <w:rsid w:val="00394CCD"/>
    <w:rsid w:val="003964F3"/>
    <w:rsid w:val="003969AA"/>
    <w:rsid w:val="00397A13"/>
    <w:rsid w:val="003A04BE"/>
    <w:rsid w:val="003A11C9"/>
    <w:rsid w:val="003A28A0"/>
    <w:rsid w:val="003A2FAB"/>
    <w:rsid w:val="003A343A"/>
    <w:rsid w:val="003A593F"/>
    <w:rsid w:val="003A6449"/>
    <w:rsid w:val="003B011A"/>
    <w:rsid w:val="003B0E1C"/>
    <w:rsid w:val="003B125C"/>
    <w:rsid w:val="003B640E"/>
    <w:rsid w:val="003C1AED"/>
    <w:rsid w:val="003C3A2B"/>
    <w:rsid w:val="003C3F0A"/>
    <w:rsid w:val="003C559E"/>
    <w:rsid w:val="003C7476"/>
    <w:rsid w:val="003C784C"/>
    <w:rsid w:val="003D2E97"/>
    <w:rsid w:val="003D5462"/>
    <w:rsid w:val="003E4060"/>
    <w:rsid w:val="003E7812"/>
    <w:rsid w:val="003E7B3B"/>
    <w:rsid w:val="003F1649"/>
    <w:rsid w:val="003F5FF9"/>
    <w:rsid w:val="00402092"/>
    <w:rsid w:val="00404F96"/>
    <w:rsid w:val="00412ACE"/>
    <w:rsid w:val="00414557"/>
    <w:rsid w:val="00416559"/>
    <w:rsid w:val="00420988"/>
    <w:rsid w:val="00424DA8"/>
    <w:rsid w:val="00430FCA"/>
    <w:rsid w:val="0043210F"/>
    <w:rsid w:val="00432EB1"/>
    <w:rsid w:val="00433E96"/>
    <w:rsid w:val="00435821"/>
    <w:rsid w:val="00437242"/>
    <w:rsid w:val="00442BA9"/>
    <w:rsid w:val="0044600D"/>
    <w:rsid w:val="00451FB0"/>
    <w:rsid w:val="00453A61"/>
    <w:rsid w:val="00454387"/>
    <w:rsid w:val="0045441D"/>
    <w:rsid w:val="004571DC"/>
    <w:rsid w:val="004630E0"/>
    <w:rsid w:val="00474763"/>
    <w:rsid w:val="00475BEB"/>
    <w:rsid w:val="00477D20"/>
    <w:rsid w:val="00480E73"/>
    <w:rsid w:val="00485575"/>
    <w:rsid w:val="00485677"/>
    <w:rsid w:val="0049224B"/>
    <w:rsid w:val="004957BF"/>
    <w:rsid w:val="004A030B"/>
    <w:rsid w:val="004A37CA"/>
    <w:rsid w:val="004A3F76"/>
    <w:rsid w:val="004A4163"/>
    <w:rsid w:val="004A4B5F"/>
    <w:rsid w:val="004A4DE7"/>
    <w:rsid w:val="004B11ED"/>
    <w:rsid w:val="004B1DCF"/>
    <w:rsid w:val="004B1E08"/>
    <w:rsid w:val="004B30CB"/>
    <w:rsid w:val="004B6141"/>
    <w:rsid w:val="004B7D51"/>
    <w:rsid w:val="004C033C"/>
    <w:rsid w:val="004C6855"/>
    <w:rsid w:val="004D227A"/>
    <w:rsid w:val="004D2EA0"/>
    <w:rsid w:val="004D34A2"/>
    <w:rsid w:val="004D6965"/>
    <w:rsid w:val="004D6EE4"/>
    <w:rsid w:val="004D74AE"/>
    <w:rsid w:val="004E4007"/>
    <w:rsid w:val="004E5D0D"/>
    <w:rsid w:val="004E5E35"/>
    <w:rsid w:val="004F393F"/>
    <w:rsid w:val="005018B2"/>
    <w:rsid w:val="0050286A"/>
    <w:rsid w:val="00502A01"/>
    <w:rsid w:val="00503C4C"/>
    <w:rsid w:val="00504741"/>
    <w:rsid w:val="0050718D"/>
    <w:rsid w:val="00510996"/>
    <w:rsid w:val="0051668C"/>
    <w:rsid w:val="00517B0D"/>
    <w:rsid w:val="005219DC"/>
    <w:rsid w:val="00532732"/>
    <w:rsid w:val="00534299"/>
    <w:rsid w:val="00536694"/>
    <w:rsid w:val="005379FD"/>
    <w:rsid w:val="0054069D"/>
    <w:rsid w:val="00545F82"/>
    <w:rsid w:val="00556663"/>
    <w:rsid w:val="0055787D"/>
    <w:rsid w:val="0056110F"/>
    <w:rsid w:val="00563068"/>
    <w:rsid w:val="00563687"/>
    <w:rsid w:val="00563CB1"/>
    <w:rsid w:val="00570AEA"/>
    <w:rsid w:val="005725DB"/>
    <w:rsid w:val="005734FA"/>
    <w:rsid w:val="005853B2"/>
    <w:rsid w:val="00585590"/>
    <w:rsid w:val="00586E6F"/>
    <w:rsid w:val="005930B3"/>
    <w:rsid w:val="00595EF2"/>
    <w:rsid w:val="0059781C"/>
    <w:rsid w:val="005A20BE"/>
    <w:rsid w:val="005A3443"/>
    <w:rsid w:val="005A52D2"/>
    <w:rsid w:val="005A52F8"/>
    <w:rsid w:val="005A5A5D"/>
    <w:rsid w:val="005A5B25"/>
    <w:rsid w:val="005A7253"/>
    <w:rsid w:val="005B39C4"/>
    <w:rsid w:val="005B6C85"/>
    <w:rsid w:val="005C18B9"/>
    <w:rsid w:val="005C2A46"/>
    <w:rsid w:val="005C7A40"/>
    <w:rsid w:val="005C7B16"/>
    <w:rsid w:val="005D0CC1"/>
    <w:rsid w:val="005D3F81"/>
    <w:rsid w:val="005D48C1"/>
    <w:rsid w:val="005D5765"/>
    <w:rsid w:val="005D577B"/>
    <w:rsid w:val="005E28E2"/>
    <w:rsid w:val="005E336B"/>
    <w:rsid w:val="005E5FF1"/>
    <w:rsid w:val="005E723F"/>
    <w:rsid w:val="005F18C9"/>
    <w:rsid w:val="005F1A39"/>
    <w:rsid w:val="005F398E"/>
    <w:rsid w:val="005F6F10"/>
    <w:rsid w:val="005F7F73"/>
    <w:rsid w:val="00600D65"/>
    <w:rsid w:val="00603A3F"/>
    <w:rsid w:val="00606D1F"/>
    <w:rsid w:val="006073EA"/>
    <w:rsid w:val="00607A07"/>
    <w:rsid w:val="00607BE9"/>
    <w:rsid w:val="006118D0"/>
    <w:rsid w:val="006124D5"/>
    <w:rsid w:val="006136DD"/>
    <w:rsid w:val="00613970"/>
    <w:rsid w:val="0062007A"/>
    <w:rsid w:val="00621C1D"/>
    <w:rsid w:val="00623938"/>
    <w:rsid w:val="00625FCE"/>
    <w:rsid w:val="00637DAD"/>
    <w:rsid w:val="00640840"/>
    <w:rsid w:val="00642183"/>
    <w:rsid w:val="00642D9D"/>
    <w:rsid w:val="00644584"/>
    <w:rsid w:val="006456B9"/>
    <w:rsid w:val="00653746"/>
    <w:rsid w:val="00657120"/>
    <w:rsid w:val="006571C7"/>
    <w:rsid w:val="00666943"/>
    <w:rsid w:val="00666E4B"/>
    <w:rsid w:val="00667CDC"/>
    <w:rsid w:val="006717BC"/>
    <w:rsid w:val="00675BC9"/>
    <w:rsid w:val="00675EA3"/>
    <w:rsid w:val="0068079E"/>
    <w:rsid w:val="006822BE"/>
    <w:rsid w:val="006837BC"/>
    <w:rsid w:val="00685756"/>
    <w:rsid w:val="00686914"/>
    <w:rsid w:val="00687D6D"/>
    <w:rsid w:val="00690959"/>
    <w:rsid w:val="006A14CD"/>
    <w:rsid w:val="006A54D5"/>
    <w:rsid w:val="006A6712"/>
    <w:rsid w:val="006A7057"/>
    <w:rsid w:val="006B0E44"/>
    <w:rsid w:val="006B1B7B"/>
    <w:rsid w:val="006B4285"/>
    <w:rsid w:val="006B4E9C"/>
    <w:rsid w:val="006B607C"/>
    <w:rsid w:val="006B6E02"/>
    <w:rsid w:val="006C3B4F"/>
    <w:rsid w:val="006C4EBA"/>
    <w:rsid w:val="006C5036"/>
    <w:rsid w:val="006C63BB"/>
    <w:rsid w:val="006C7A41"/>
    <w:rsid w:val="006D304E"/>
    <w:rsid w:val="006D397C"/>
    <w:rsid w:val="006D570D"/>
    <w:rsid w:val="006D7395"/>
    <w:rsid w:val="006E0BED"/>
    <w:rsid w:val="006F048D"/>
    <w:rsid w:val="0071552A"/>
    <w:rsid w:val="00716FA2"/>
    <w:rsid w:val="00717C4A"/>
    <w:rsid w:val="00717E70"/>
    <w:rsid w:val="0072201E"/>
    <w:rsid w:val="00722DBA"/>
    <w:rsid w:val="007275A4"/>
    <w:rsid w:val="0072784E"/>
    <w:rsid w:val="00727D95"/>
    <w:rsid w:val="007317C6"/>
    <w:rsid w:val="007321D5"/>
    <w:rsid w:val="00732508"/>
    <w:rsid w:val="0073460E"/>
    <w:rsid w:val="00736014"/>
    <w:rsid w:val="007360F3"/>
    <w:rsid w:val="00737124"/>
    <w:rsid w:val="00741288"/>
    <w:rsid w:val="00747EEC"/>
    <w:rsid w:val="007543D5"/>
    <w:rsid w:val="0075739D"/>
    <w:rsid w:val="00761413"/>
    <w:rsid w:val="00764DB3"/>
    <w:rsid w:val="00773D96"/>
    <w:rsid w:val="00774998"/>
    <w:rsid w:val="00776C48"/>
    <w:rsid w:val="00777C93"/>
    <w:rsid w:val="00777FF4"/>
    <w:rsid w:val="007807CE"/>
    <w:rsid w:val="0078184C"/>
    <w:rsid w:val="0079009E"/>
    <w:rsid w:val="00790377"/>
    <w:rsid w:val="00790C3D"/>
    <w:rsid w:val="00796A06"/>
    <w:rsid w:val="00797800"/>
    <w:rsid w:val="007A3B5E"/>
    <w:rsid w:val="007B3293"/>
    <w:rsid w:val="007B3E80"/>
    <w:rsid w:val="007C0748"/>
    <w:rsid w:val="007D0930"/>
    <w:rsid w:val="007D6251"/>
    <w:rsid w:val="007D778C"/>
    <w:rsid w:val="007E1FDC"/>
    <w:rsid w:val="007E602E"/>
    <w:rsid w:val="007E74D7"/>
    <w:rsid w:val="007E7E73"/>
    <w:rsid w:val="007F6174"/>
    <w:rsid w:val="007F7160"/>
    <w:rsid w:val="00801EE7"/>
    <w:rsid w:val="008028F9"/>
    <w:rsid w:val="008043FB"/>
    <w:rsid w:val="008050C3"/>
    <w:rsid w:val="00807D56"/>
    <w:rsid w:val="00810980"/>
    <w:rsid w:val="00812449"/>
    <w:rsid w:val="00813EAF"/>
    <w:rsid w:val="00814170"/>
    <w:rsid w:val="008345DB"/>
    <w:rsid w:val="0083529D"/>
    <w:rsid w:val="00837B83"/>
    <w:rsid w:val="00844EFD"/>
    <w:rsid w:val="00845032"/>
    <w:rsid w:val="00846F76"/>
    <w:rsid w:val="0085013B"/>
    <w:rsid w:val="00850535"/>
    <w:rsid w:val="00857FA2"/>
    <w:rsid w:val="00860BE5"/>
    <w:rsid w:val="00862D23"/>
    <w:rsid w:val="00865D11"/>
    <w:rsid w:val="00866516"/>
    <w:rsid w:val="0087205C"/>
    <w:rsid w:val="008729A7"/>
    <w:rsid w:val="00874209"/>
    <w:rsid w:val="008811F2"/>
    <w:rsid w:val="008824E5"/>
    <w:rsid w:val="0088361C"/>
    <w:rsid w:val="00883FE5"/>
    <w:rsid w:val="0088445F"/>
    <w:rsid w:val="00890628"/>
    <w:rsid w:val="00890A20"/>
    <w:rsid w:val="008931B3"/>
    <w:rsid w:val="008958B2"/>
    <w:rsid w:val="008A2861"/>
    <w:rsid w:val="008A2C8A"/>
    <w:rsid w:val="008A4D76"/>
    <w:rsid w:val="008A6DE1"/>
    <w:rsid w:val="008B6B2F"/>
    <w:rsid w:val="008C07B9"/>
    <w:rsid w:val="008C1983"/>
    <w:rsid w:val="008C1F09"/>
    <w:rsid w:val="008C4298"/>
    <w:rsid w:val="008C49D1"/>
    <w:rsid w:val="008C6ABB"/>
    <w:rsid w:val="008C6AF8"/>
    <w:rsid w:val="008D149C"/>
    <w:rsid w:val="008D524C"/>
    <w:rsid w:val="008D5BFB"/>
    <w:rsid w:val="008D5ED4"/>
    <w:rsid w:val="008E0145"/>
    <w:rsid w:val="008E692C"/>
    <w:rsid w:val="008F30DC"/>
    <w:rsid w:val="008F52CF"/>
    <w:rsid w:val="008F73C4"/>
    <w:rsid w:val="0090356B"/>
    <w:rsid w:val="00910241"/>
    <w:rsid w:val="00910C4B"/>
    <w:rsid w:val="00910EDE"/>
    <w:rsid w:val="0091115C"/>
    <w:rsid w:val="009136FD"/>
    <w:rsid w:val="009200AF"/>
    <w:rsid w:val="009264AF"/>
    <w:rsid w:val="00927033"/>
    <w:rsid w:val="00927700"/>
    <w:rsid w:val="00927B18"/>
    <w:rsid w:val="00933154"/>
    <w:rsid w:val="00936EA5"/>
    <w:rsid w:val="00941B41"/>
    <w:rsid w:val="009421CD"/>
    <w:rsid w:val="00945962"/>
    <w:rsid w:val="00952620"/>
    <w:rsid w:val="00954086"/>
    <w:rsid w:val="00954754"/>
    <w:rsid w:val="00964918"/>
    <w:rsid w:val="00965385"/>
    <w:rsid w:val="0097258D"/>
    <w:rsid w:val="00972AB4"/>
    <w:rsid w:val="00983EA4"/>
    <w:rsid w:val="009854C4"/>
    <w:rsid w:val="00990864"/>
    <w:rsid w:val="00992301"/>
    <w:rsid w:val="0099475C"/>
    <w:rsid w:val="00996BF2"/>
    <w:rsid w:val="009A0F97"/>
    <w:rsid w:val="009A4061"/>
    <w:rsid w:val="009A47BD"/>
    <w:rsid w:val="009A5413"/>
    <w:rsid w:val="009B6634"/>
    <w:rsid w:val="009C24CF"/>
    <w:rsid w:val="009C3056"/>
    <w:rsid w:val="009C76C6"/>
    <w:rsid w:val="009D036B"/>
    <w:rsid w:val="009D3B08"/>
    <w:rsid w:val="009D3DC7"/>
    <w:rsid w:val="009D5160"/>
    <w:rsid w:val="009D79B7"/>
    <w:rsid w:val="009E022E"/>
    <w:rsid w:val="009E039B"/>
    <w:rsid w:val="009F4F7C"/>
    <w:rsid w:val="009F5443"/>
    <w:rsid w:val="009F7928"/>
    <w:rsid w:val="00A10C50"/>
    <w:rsid w:val="00A17CD8"/>
    <w:rsid w:val="00A22DFE"/>
    <w:rsid w:val="00A23252"/>
    <w:rsid w:val="00A244A4"/>
    <w:rsid w:val="00A24769"/>
    <w:rsid w:val="00A25F83"/>
    <w:rsid w:val="00A2694F"/>
    <w:rsid w:val="00A2736E"/>
    <w:rsid w:val="00A27D78"/>
    <w:rsid w:val="00A3180E"/>
    <w:rsid w:val="00A3283A"/>
    <w:rsid w:val="00A32F03"/>
    <w:rsid w:val="00A359BF"/>
    <w:rsid w:val="00A3771C"/>
    <w:rsid w:val="00A46F94"/>
    <w:rsid w:val="00A47E4A"/>
    <w:rsid w:val="00A526AA"/>
    <w:rsid w:val="00A560F0"/>
    <w:rsid w:val="00A56FD3"/>
    <w:rsid w:val="00A61BCE"/>
    <w:rsid w:val="00A6240A"/>
    <w:rsid w:val="00A63256"/>
    <w:rsid w:val="00A638A8"/>
    <w:rsid w:val="00A65F09"/>
    <w:rsid w:val="00A669F9"/>
    <w:rsid w:val="00A723A5"/>
    <w:rsid w:val="00A81701"/>
    <w:rsid w:val="00A846CE"/>
    <w:rsid w:val="00A84751"/>
    <w:rsid w:val="00A87824"/>
    <w:rsid w:val="00A9163E"/>
    <w:rsid w:val="00A916B9"/>
    <w:rsid w:val="00A93816"/>
    <w:rsid w:val="00AA1228"/>
    <w:rsid w:val="00AA203B"/>
    <w:rsid w:val="00AA51A8"/>
    <w:rsid w:val="00AB587D"/>
    <w:rsid w:val="00AB7375"/>
    <w:rsid w:val="00AC108D"/>
    <w:rsid w:val="00AC3919"/>
    <w:rsid w:val="00AD0529"/>
    <w:rsid w:val="00AD4856"/>
    <w:rsid w:val="00AD5EF8"/>
    <w:rsid w:val="00AE03D7"/>
    <w:rsid w:val="00AE1DEC"/>
    <w:rsid w:val="00AE2F24"/>
    <w:rsid w:val="00AE4492"/>
    <w:rsid w:val="00AF3B71"/>
    <w:rsid w:val="00AF4982"/>
    <w:rsid w:val="00AF5750"/>
    <w:rsid w:val="00AF606D"/>
    <w:rsid w:val="00AF6BF9"/>
    <w:rsid w:val="00B00E67"/>
    <w:rsid w:val="00B01580"/>
    <w:rsid w:val="00B041E7"/>
    <w:rsid w:val="00B106F0"/>
    <w:rsid w:val="00B1253D"/>
    <w:rsid w:val="00B12E64"/>
    <w:rsid w:val="00B169B5"/>
    <w:rsid w:val="00B17364"/>
    <w:rsid w:val="00B21239"/>
    <w:rsid w:val="00B359D5"/>
    <w:rsid w:val="00B36D25"/>
    <w:rsid w:val="00B403C5"/>
    <w:rsid w:val="00B42F89"/>
    <w:rsid w:val="00B43E10"/>
    <w:rsid w:val="00B4467F"/>
    <w:rsid w:val="00B45BFA"/>
    <w:rsid w:val="00B469BA"/>
    <w:rsid w:val="00B551CF"/>
    <w:rsid w:val="00B55701"/>
    <w:rsid w:val="00B5629C"/>
    <w:rsid w:val="00B56B02"/>
    <w:rsid w:val="00B60244"/>
    <w:rsid w:val="00B61C1F"/>
    <w:rsid w:val="00B64703"/>
    <w:rsid w:val="00B83E76"/>
    <w:rsid w:val="00B84E56"/>
    <w:rsid w:val="00B858B1"/>
    <w:rsid w:val="00B86DB4"/>
    <w:rsid w:val="00B924A3"/>
    <w:rsid w:val="00B93616"/>
    <w:rsid w:val="00B957CD"/>
    <w:rsid w:val="00B96852"/>
    <w:rsid w:val="00BA4FC8"/>
    <w:rsid w:val="00BB295C"/>
    <w:rsid w:val="00BB3B56"/>
    <w:rsid w:val="00BB5F07"/>
    <w:rsid w:val="00BB65FD"/>
    <w:rsid w:val="00BC163A"/>
    <w:rsid w:val="00BC489B"/>
    <w:rsid w:val="00BD1BB4"/>
    <w:rsid w:val="00BD333F"/>
    <w:rsid w:val="00BD75F3"/>
    <w:rsid w:val="00BE3000"/>
    <w:rsid w:val="00BE3050"/>
    <w:rsid w:val="00BF5473"/>
    <w:rsid w:val="00C022B0"/>
    <w:rsid w:val="00C0299A"/>
    <w:rsid w:val="00C0345B"/>
    <w:rsid w:val="00C034A7"/>
    <w:rsid w:val="00C045B9"/>
    <w:rsid w:val="00C04985"/>
    <w:rsid w:val="00C11112"/>
    <w:rsid w:val="00C120CA"/>
    <w:rsid w:val="00C12BAC"/>
    <w:rsid w:val="00C13FA8"/>
    <w:rsid w:val="00C16123"/>
    <w:rsid w:val="00C169FF"/>
    <w:rsid w:val="00C25C79"/>
    <w:rsid w:val="00C33849"/>
    <w:rsid w:val="00C36A30"/>
    <w:rsid w:val="00C37D27"/>
    <w:rsid w:val="00C42612"/>
    <w:rsid w:val="00C50255"/>
    <w:rsid w:val="00C527E5"/>
    <w:rsid w:val="00C547DF"/>
    <w:rsid w:val="00C562A9"/>
    <w:rsid w:val="00C57745"/>
    <w:rsid w:val="00C60531"/>
    <w:rsid w:val="00C637BE"/>
    <w:rsid w:val="00C648C4"/>
    <w:rsid w:val="00C655E8"/>
    <w:rsid w:val="00C670CE"/>
    <w:rsid w:val="00C73768"/>
    <w:rsid w:val="00C814D5"/>
    <w:rsid w:val="00C9096F"/>
    <w:rsid w:val="00C931EE"/>
    <w:rsid w:val="00C93CC0"/>
    <w:rsid w:val="00C945C5"/>
    <w:rsid w:val="00C96854"/>
    <w:rsid w:val="00C96D3C"/>
    <w:rsid w:val="00C97798"/>
    <w:rsid w:val="00CA3B48"/>
    <w:rsid w:val="00CA4972"/>
    <w:rsid w:val="00CA5049"/>
    <w:rsid w:val="00CA6F78"/>
    <w:rsid w:val="00CB0CA7"/>
    <w:rsid w:val="00CB27C4"/>
    <w:rsid w:val="00CB3F25"/>
    <w:rsid w:val="00CB5DAB"/>
    <w:rsid w:val="00CB7A6C"/>
    <w:rsid w:val="00CC22CB"/>
    <w:rsid w:val="00CC2437"/>
    <w:rsid w:val="00CC4CD5"/>
    <w:rsid w:val="00CC5C2A"/>
    <w:rsid w:val="00CD4223"/>
    <w:rsid w:val="00CD43FC"/>
    <w:rsid w:val="00CD7DDB"/>
    <w:rsid w:val="00CE0A10"/>
    <w:rsid w:val="00CE0E03"/>
    <w:rsid w:val="00CE1ADF"/>
    <w:rsid w:val="00CE3135"/>
    <w:rsid w:val="00CE6538"/>
    <w:rsid w:val="00CF131D"/>
    <w:rsid w:val="00D071A5"/>
    <w:rsid w:val="00D11B59"/>
    <w:rsid w:val="00D12770"/>
    <w:rsid w:val="00D147AF"/>
    <w:rsid w:val="00D173F2"/>
    <w:rsid w:val="00D2100C"/>
    <w:rsid w:val="00D2429F"/>
    <w:rsid w:val="00D2733C"/>
    <w:rsid w:val="00D301DD"/>
    <w:rsid w:val="00D30A1D"/>
    <w:rsid w:val="00D31863"/>
    <w:rsid w:val="00D3261D"/>
    <w:rsid w:val="00D33492"/>
    <w:rsid w:val="00D33653"/>
    <w:rsid w:val="00D33761"/>
    <w:rsid w:val="00D4474F"/>
    <w:rsid w:val="00D4661E"/>
    <w:rsid w:val="00D509EB"/>
    <w:rsid w:val="00D51419"/>
    <w:rsid w:val="00D55B10"/>
    <w:rsid w:val="00D66A1A"/>
    <w:rsid w:val="00D70A7F"/>
    <w:rsid w:val="00D71F68"/>
    <w:rsid w:val="00D73D02"/>
    <w:rsid w:val="00D74420"/>
    <w:rsid w:val="00D74EAE"/>
    <w:rsid w:val="00D806FA"/>
    <w:rsid w:val="00D81E53"/>
    <w:rsid w:val="00D84E4A"/>
    <w:rsid w:val="00D85960"/>
    <w:rsid w:val="00D87562"/>
    <w:rsid w:val="00D906DC"/>
    <w:rsid w:val="00D91CCC"/>
    <w:rsid w:val="00D920C8"/>
    <w:rsid w:val="00D92579"/>
    <w:rsid w:val="00D97E05"/>
    <w:rsid w:val="00DA1006"/>
    <w:rsid w:val="00DA15B5"/>
    <w:rsid w:val="00DA17D2"/>
    <w:rsid w:val="00DB20FD"/>
    <w:rsid w:val="00DB246C"/>
    <w:rsid w:val="00DB3FE4"/>
    <w:rsid w:val="00DB5CB1"/>
    <w:rsid w:val="00DB79DB"/>
    <w:rsid w:val="00DC17A7"/>
    <w:rsid w:val="00DC2A83"/>
    <w:rsid w:val="00DC5BF3"/>
    <w:rsid w:val="00DD43E5"/>
    <w:rsid w:val="00DE29CE"/>
    <w:rsid w:val="00DE42F5"/>
    <w:rsid w:val="00DE5688"/>
    <w:rsid w:val="00DF05B0"/>
    <w:rsid w:val="00DF07D1"/>
    <w:rsid w:val="00DF57E1"/>
    <w:rsid w:val="00DF6CBD"/>
    <w:rsid w:val="00E02381"/>
    <w:rsid w:val="00E03DAF"/>
    <w:rsid w:val="00E04785"/>
    <w:rsid w:val="00E05240"/>
    <w:rsid w:val="00E05F07"/>
    <w:rsid w:val="00E102E6"/>
    <w:rsid w:val="00E10E30"/>
    <w:rsid w:val="00E114ED"/>
    <w:rsid w:val="00E12CE7"/>
    <w:rsid w:val="00E13417"/>
    <w:rsid w:val="00E23199"/>
    <w:rsid w:val="00E23897"/>
    <w:rsid w:val="00E240EA"/>
    <w:rsid w:val="00E24D4C"/>
    <w:rsid w:val="00E25114"/>
    <w:rsid w:val="00E25670"/>
    <w:rsid w:val="00E27F9A"/>
    <w:rsid w:val="00E318EC"/>
    <w:rsid w:val="00E3473C"/>
    <w:rsid w:val="00E356C2"/>
    <w:rsid w:val="00E369C3"/>
    <w:rsid w:val="00E44464"/>
    <w:rsid w:val="00E452CE"/>
    <w:rsid w:val="00E47174"/>
    <w:rsid w:val="00E55A68"/>
    <w:rsid w:val="00E56250"/>
    <w:rsid w:val="00E570F1"/>
    <w:rsid w:val="00E6130B"/>
    <w:rsid w:val="00E61B15"/>
    <w:rsid w:val="00E62250"/>
    <w:rsid w:val="00E65A33"/>
    <w:rsid w:val="00E717F7"/>
    <w:rsid w:val="00E76167"/>
    <w:rsid w:val="00E77CF7"/>
    <w:rsid w:val="00E845F4"/>
    <w:rsid w:val="00E8590D"/>
    <w:rsid w:val="00E909D3"/>
    <w:rsid w:val="00E92BDD"/>
    <w:rsid w:val="00E938A1"/>
    <w:rsid w:val="00E94B5D"/>
    <w:rsid w:val="00E97314"/>
    <w:rsid w:val="00EA0135"/>
    <w:rsid w:val="00EA1527"/>
    <w:rsid w:val="00EA657D"/>
    <w:rsid w:val="00EB0458"/>
    <w:rsid w:val="00EB3980"/>
    <w:rsid w:val="00EB4500"/>
    <w:rsid w:val="00EB48BF"/>
    <w:rsid w:val="00EC33ED"/>
    <w:rsid w:val="00EC4F06"/>
    <w:rsid w:val="00EC5E6A"/>
    <w:rsid w:val="00EC6F42"/>
    <w:rsid w:val="00ED0276"/>
    <w:rsid w:val="00ED0B65"/>
    <w:rsid w:val="00ED0CF3"/>
    <w:rsid w:val="00ED1FB4"/>
    <w:rsid w:val="00ED39FF"/>
    <w:rsid w:val="00ED71D8"/>
    <w:rsid w:val="00ED76C1"/>
    <w:rsid w:val="00EE0A48"/>
    <w:rsid w:val="00EE1E54"/>
    <w:rsid w:val="00EE2057"/>
    <w:rsid w:val="00EE35EF"/>
    <w:rsid w:val="00EE3BC1"/>
    <w:rsid w:val="00EE431A"/>
    <w:rsid w:val="00EE46FD"/>
    <w:rsid w:val="00EE589E"/>
    <w:rsid w:val="00EE723E"/>
    <w:rsid w:val="00F031D2"/>
    <w:rsid w:val="00F05E93"/>
    <w:rsid w:val="00F066E6"/>
    <w:rsid w:val="00F06995"/>
    <w:rsid w:val="00F13BD7"/>
    <w:rsid w:val="00F21DB6"/>
    <w:rsid w:val="00F23529"/>
    <w:rsid w:val="00F24B79"/>
    <w:rsid w:val="00F2583B"/>
    <w:rsid w:val="00F26766"/>
    <w:rsid w:val="00F27C2C"/>
    <w:rsid w:val="00F30ED6"/>
    <w:rsid w:val="00F354CD"/>
    <w:rsid w:val="00F4064E"/>
    <w:rsid w:val="00F41285"/>
    <w:rsid w:val="00F41A64"/>
    <w:rsid w:val="00F43D72"/>
    <w:rsid w:val="00F52B3A"/>
    <w:rsid w:val="00F53238"/>
    <w:rsid w:val="00F54367"/>
    <w:rsid w:val="00F55037"/>
    <w:rsid w:val="00F56A42"/>
    <w:rsid w:val="00F61F83"/>
    <w:rsid w:val="00F66C8E"/>
    <w:rsid w:val="00F67691"/>
    <w:rsid w:val="00F73481"/>
    <w:rsid w:val="00F736E1"/>
    <w:rsid w:val="00F74809"/>
    <w:rsid w:val="00F84573"/>
    <w:rsid w:val="00F84FF7"/>
    <w:rsid w:val="00F906AF"/>
    <w:rsid w:val="00F919F2"/>
    <w:rsid w:val="00F92C81"/>
    <w:rsid w:val="00F92EBA"/>
    <w:rsid w:val="00F95E12"/>
    <w:rsid w:val="00FA4EA3"/>
    <w:rsid w:val="00FA5259"/>
    <w:rsid w:val="00FB026A"/>
    <w:rsid w:val="00FB12D8"/>
    <w:rsid w:val="00FB20AC"/>
    <w:rsid w:val="00FB2E13"/>
    <w:rsid w:val="00FC11F0"/>
    <w:rsid w:val="00FC442B"/>
    <w:rsid w:val="00FC4438"/>
    <w:rsid w:val="00FC504F"/>
    <w:rsid w:val="00FC6C49"/>
    <w:rsid w:val="00FD0E20"/>
    <w:rsid w:val="00FD5499"/>
    <w:rsid w:val="00FE25D0"/>
    <w:rsid w:val="00FE5793"/>
    <w:rsid w:val="00FE77D3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7D2B9"/>
  <w15:chartTrackingRefBased/>
  <w15:docId w15:val="{BCB6F2F8-F1E9-4ECD-ADBB-343D92EB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0A"/>
    <w:pPr>
      <w:widowControl w:val="0"/>
      <w:autoSpaceDE w:val="0"/>
      <w:autoSpaceDN w:val="0"/>
      <w:spacing w:before="240" w:after="240" w:line="240" w:lineRule="auto"/>
      <w:ind w:firstLine="720"/>
    </w:pPr>
    <w:rPr>
      <w:rFonts w:ascii="Garamond" w:eastAsia="Garamond" w:hAnsi="Garamond" w:cs="Garamond"/>
    </w:rPr>
  </w:style>
  <w:style w:type="paragraph" w:styleId="Heading1">
    <w:name w:val="heading 1"/>
    <w:basedOn w:val="Normal"/>
    <w:link w:val="Heading1Char"/>
    <w:uiPriority w:val="9"/>
    <w:qFormat/>
    <w:rsid w:val="00335868"/>
    <w:pPr>
      <w:ind w:firstLine="0"/>
      <w:outlineLvl w:val="0"/>
    </w:pPr>
    <w:rPr>
      <w:rFonts w:cs="Times New Roman"/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01316C"/>
    <w:pPr>
      <w:ind w:left="818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1316C"/>
    <w:pPr>
      <w:ind w:left="1020"/>
      <w:jc w:val="both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868"/>
    <w:rPr>
      <w:rFonts w:ascii="Garamond" w:eastAsia="Garamond" w:hAnsi="Garamond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1316C"/>
    <w:rPr>
      <w:rFonts w:ascii="Garamond" w:eastAsia="Garamond" w:hAnsi="Garamond" w:cs="Garamond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1316C"/>
    <w:rPr>
      <w:rFonts w:ascii="Garamond" w:eastAsia="Garamond" w:hAnsi="Garamond" w:cs="Garamond"/>
      <w:b/>
      <w:bCs/>
      <w:sz w:val="28"/>
      <w:szCs w:val="28"/>
    </w:rPr>
  </w:style>
  <w:style w:type="paragraph" w:styleId="TOC1">
    <w:name w:val="toc 1"/>
    <w:basedOn w:val="BodyText"/>
    <w:uiPriority w:val="1"/>
    <w:qFormat/>
    <w:rsid w:val="00335868"/>
    <w:pPr>
      <w:keepNext/>
      <w:ind w:firstLine="0"/>
    </w:pPr>
    <w:rPr>
      <w:b/>
      <w:bCs/>
    </w:rPr>
  </w:style>
  <w:style w:type="paragraph" w:styleId="TOC2">
    <w:name w:val="toc 2"/>
    <w:basedOn w:val="BodyText"/>
    <w:uiPriority w:val="1"/>
    <w:qFormat/>
    <w:rsid w:val="00104C2B"/>
    <w:pPr>
      <w:keepNext/>
      <w:ind w:left="1440" w:hanging="720"/>
    </w:pPr>
    <w:rPr>
      <w:b/>
      <w:bCs/>
    </w:rPr>
  </w:style>
  <w:style w:type="paragraph" w:styleId="TOC3">
    <w:name w:val="toc 3"/>
    <w:basedOn w:val="BodyText"/>
    <w:uiPriority w:val="1"/>
    <w:qFormat/>
    <w:rsid w:val="00503C4C"/>
    <w:pPr>
      <w:keepNext/>
      <w:numPr>
        <w:numId w:val="24"/>
      </w:numPr>
    </w:pPr>
    <w:rPr>
      <w:i/>
      <w:iCs/>
    </w:rPr>
  </w:style>
  <w:style w:type="paragraph" w:styleId="TOC4">
    <w:name w:val="toc 4"/>
    <w:basedOn w:val="Normal"/>
    <w:uiPriority w:val="1"/>
    <w:qFormat/>
    <w:rsid w:val="0001316C"/>
    <w:pPr>
      <w:ind w:left="1740" w:hanging="432"/>
    </w:pPr>
    <w:rPr>
      <w:sz w:val="28"/>
      <w:szCs w:val="28"/>
    </w:rPr>
  </w:style>
  <w:style w:type="paragraph" w:styleId="TOC5">
    <w:name w:val="toc 5"/>
    <w:basedOn w:val="Normal"/>
    <w:uiPriority w:val="1"/>
    <w:qFormat/>
    <w:rsid w:val="0001316C"/>
    <w:pPr>
      <w:ind w:left="1740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50535"/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0535"/>
    <w:rPr>
      <w:rFonts w:ascii="Garamond" w:eastAsia="Garamond" w:hAnsi="Garamond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0535"/>
    <w:pPr>
      <w:keepNext/>
      <w:keepLines/>
      <w:ind w:left="1742"/>
      <w:jc w:val="both"/>
    </w:pPr>
  </w:style>
  <w:style w:type="paragraph" w:customStyle="1" w:styleId="TableParagraph">
    <w:name w:val="Table Paragraph"/>
    <w:basedOn w:val="Normal"/>
    <w:uiPriority w:val="1"/>
    <w:qFormat/>
    <w:rsid w:val="0001316C"/>
    <w:pPr>
      <w:spacing w:line="255" w:lineRule="exact"/>
    </w:pPr>
  </w:style>
  <w:style w:type="paragraph" w:styleId="Header">
    <w:name w:val="header"/>
    <w:basedOn w:val="Normal"/>
    <w:link w:val="HeaderChar"/>
    <w:uiPriority w:val="99"/>
    <w:unhideWhenUsed/>
    <w:rsid w:val="000131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16C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unhideWhenUsed/>
    <w:rsid w:val="000131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16C"/>
    <w:rPr>
      <w:rFonts w:ascii="Garamond" w:eastAsia="Garamond" w:hAnsi="Garamond" w:cs="Garamond"/>
    </w:rPr>
  </w:style>
  <w:style w:type="character" w:styleId="CommentReference">
    <w:name w:val="annotation reference"/>
    <w:basedOn w:val="DefaultParagraphFont"/>
    <w:uiPriority w:val="99"/>
    <w:semiHidden/>
    <w:unhideWhenUsed/>
    <w:rsid w:val="00C02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2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2B0"/>
    <w:rPr>
      <w:rFonts w:ascii="Garamond" w:eastAsia="Garamond" w:hAnsi="Garamond" w:cs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B0"/>
    <w:rPr>
      <w:rFonts w:ascii="Garamond" w:eastAsia="Garamond" w:hAnsi="Garamond" w:cs="Garamon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2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2B0"/>
    <w:rPr>
      <w:rFonts w:ascii="Segoe UI" w:eastAsia="Garamond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64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4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3B08"/>
    <w:rPr>
      <w:color w:val="954F72" w:themeColor="followedHyperlink"/>
      <w:u w:val="single"/>
    </w:rPr>
  </w:style>
  <w:style w:type="paragraph" w:customStyle="1" w:styleId="Default">
    <w:name w:val="Default"/>
    <w:rsid w:val="006456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13496"/>
    <w:pPr>
      <w:spacing w:before="0" w:after="0"/>
      <w:ind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3496"/>
    <w:rPr>
      <w:rFonts w:ascii="Garamond" w:eastAsia="Garamond" w:hAnsi="Garamond" w:cs="Garamon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56B9"/>
    <w:rPr>
      <w:vertAlign w:val="superscript"/>
    </w:rPr>
  </w:style>
  <w:style w:type="paragraph" w:styleId="Revision">
    <w:name w:val="Revision"/>
    <w:hidden/>
    <w:uiPriority w:val="99"/>
    <w:semiHidden/>
    <w:rsid w:val="00A669F9"/>
    <w:pPr>
      <w:spacing w:after="0" w:line="240" w:lineRule="auto"/>
    </w:pPr>
    <w:rPr>
      <w:rFonts w:ascii="Garamond" w:eastAsia="Garamond" w:hAnsi="Garamond" w:cs="Garamond"/>
    </w:rPr>
  </w:style>
  <w:style w:type="paragraph" w:styleId="NormalWeb">
    <w:name w:val="Normal (Web)"/>
    <w:basedOn w:val="Normal"/>
    <w:uiPriority w:val="99"/>
    <w:semiHidden/>
    <w:unhideWhenUsed/>
    <w:rsid w:val="007D09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6">
    <w:name w:val="List Table 3 Accent 6"/>
    <w:basedOn w:val="TableNormal"/>
    <w:uiPriority w:val="48"/>
    <w:rsid w:val="00C045B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NoSpacing">
    <w:name w:val="No Spacing"/>
    <w:uiPriority w:val="1"/>
    <w:qFormat/>
    <w:rsid w:val="003C1AED"/>
    <w:pPr>
      <w:widowControl w:val="0"/>
      <w:autoSpaceDE w:val="0"/>
      <w:autoSpaceDN w:val="0"/>
      <w:spacing w:after="0" w:line="240" w:lineRule="auto"/>
      <w:ind w:firstLine="720"/>
    </w:pPr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6607">
          <w:marLeft w:val="2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21519">
          <w:marLeft w:val="5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4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2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C4D6-75DE-4955-A746-444F017F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1493</Words>
  <Characters>8499</Characters>
  <Application>Microsoft Office Word</Application>
  <DocSecurity>0</DocSecurity>
  <Lines>130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Watkins</dc:creator>
  <cp:keywords/>
  <dc:description/>
  <cp:lastModifiedBy>Jeremy Nighohossian</cp:lastModifiedBy>
  <cp:revision>25</cp:revision>
  <cp:lastPrinted>2025-07-16T16:44:00Z</cp:lastPrinted>
  <dcterms:created xsi:type="dcterms:W3CDTF">2026-03-13T17:25:00Z</dcterms:created>
  <dcterms:modified xsi:type="dcterms:W3CDTF">2026-03-13T17:45:00Z</dcterms:modified>
</cp:coreProperties>
</file>